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val="0"/>
        <w:keepLines w:val="0"/>
        <w:pageBreakBefore w:val="0"/>
        <w:widowControl w:val="0"/>
        <w:kinsoku/>
        <w:wordWrap/>
        <w:overflowPunct/>
        <w:topLinePunct w:val="0"/>
        <w:autoSpaceDE w:val="0"/>
        <w:autoSpaceDN w:val="0"/>
        <w:bidi w:val="0"/>
        <w:adjustRightInd/>
        <w:snapToGrid w:val="0"/>
        <w:spacing w:after="313" w:afterLines="100"/>
        <w:jc w:val="both"/>
        <w:textAlignment w:val="auto"/>
        <w:rPr>
          <w:rFonts w:hint="eastAsia" w:ascii="仿宋_GB2312" w:hAnsi="仿宋_GB2312" w:eastAsia="仿宋_GB2312" w:cs="Times New Roman"/>
          <w:snapToGrid/>
          <w:kern w:val="2"/>
          <w:sz w:val="32"/>
          <w:szCs w:val="24"/>
          <w:lang w:val="en-US" w:eastAsia="zh-CN" w:bidi="ar-SA"/>
        </w:rPr>
      </w:pPr>
      <w:r>
        <w:rPr>
          <w:rFonts w:hint="eastAsia" w:ascii="仿宋_GB2312" w:hAnsi="仿宋_GB2312" w:eastAsia="仿宋_GB2312" w:cs="Times New Roman"/>
          <w:snapToGrid/>
          <w:kern w:val="2"/>
          <w:sz w:val="32"/>
          <w:szCs w:val="24"/>
          <w:lang w:val="en-US" w:eastAsia="zh-CN" w:bidi="ar-SA"/>
        </w:rPr>
        <w:t>附件：</w:t>
      </w:r>
    </w:p>
    <w:p>
      <w:pPr>
        <w:pStyle w:val="11"/>
        <w:keepNext w:val="0"/>
        <w:keepLines w:val="0"/>
        <w:pageBreakBefore w:val="0"/>
        <w:widowControl w:val="0"/>
        <w:kinsoku/>
        <w:wordWrap/>
        <w:overflowPunct/>
        <w:topLinePunct w:val="0"/>
        <w:autoSpaceDE w:val="0"/>
        <w:autoSpaceDN w:val="0"/>
        <w:bidi w:val="0"/>
        <w:adjustRightInd/>
        <w:snapToGrid w:val="0"/>
        <w:spacing w:after="313" w:afterLines="100"/>
        <w:jc w:val="center"/>
        <w:textAlignment w:val="auto"/>
        <w:rPr>
          <w:rFonts w:hint="eastAsia" w:ascii="方正小标宋_GBK" w:hAnsi="方正小标宋_GBK" w:eastAsia="方正小标宋_GBK" w:cs="方正小标宋_GBK"/>
          <w:b/>
          <w:bCs/>
          <w:snapToGrid/>
          <w:color w:val="333333"/>
          <w:kern w:val="2"/>
          <w:sz w:val="44"/>
          <w:szCs w:val="44"/>
          <w:shd w:val="clear" w:color="auto" w:fill="FFFFFF"/>
          <w:lang w:val="en-US" w:eastAsia="zh-CN" w:bidi="ar-SA"/>
        </w:rPr>
      </w:pPr>
      <w:bookmarkStart w:id="13" w:name="_GoBack"/>
      <w:r>
        <w:rPr>
          <w:rFonts w:hint="eastAsia" w:ascii="方正小标宋_GBK" w:hAnsi="方正小标宋_GBK" w:eastAsia="方正小标宋_GBK" w:cs="方正小标宋_GBK"/>
          <w:b/>
          <w:bCs/>
          <w:snapToGrid/>
          <w:color w:val="333333"/>
          <w:kern w:val="2"/>
          <w:sz w:val="44"/>
          <w:szCs w:val="44"/>
          <w:shd w:val="clear" w:color="auto" w:fill="FFFFFF"/>
          <w:lang w:val="en-US" w:eastAsia="zh-CN" w:bidi="ar-SA"/>
        </w:rPr>
        <w:t>湖南省生态环境保护行政处罚裁量权</w:t>
      </w:r>
    </w:p>
    <w:p>
      <w:pPr>
        <w:pStyle w:val="11"/>
        <w:keepNext w:val="0"/>
        <w:keepLines w:val="0"/>
        <w:pageBreakBefore w:val="0"/>
        <w:widowControl w:val="0"/>
        <w:kinsoku/>
        <w:wordWrap/>
        <w:overflowPunct/>
        <w:topLinePunct w:val="0"/>
        <w:autoSpaceDE w:val="0"/>
        <w:autoSpaceDN w:val="0"/>
        <w:bidi w:val="0"/>
        <w:adjustRightInd/>
        <w:snapToGrid w:val="0"/>
        <w:spacing w:after="313" w:afterLines="100"/>
        <w:textAlignment w:val="auto"/>
        <w:rPr>
          <w:rFonts w:hint="default"/>
          <w:sz w:val="28"/>
          <w:szCs w:val="18"/>
          <w:lang w:val="en-US" w:eastAsia="zh-CN"/>
        </w:rPr>
      </w:pPr>
      <w:r>
        <w:rPr>
          <w:rFonts w:hint="eastAsia" w:ascii="方正小标宋_GBK" w:hAnsi="方正小标宋_GBK" w:eastAsia="方正小标宋_GBK" w:cs="方正小标宋_GBK"/>
          <w:b/>
          <w:bCs/>
          <w:snapToGrid/>
          <w:color w:val="333333"/>
          <w:kern w:val="2"/>
          <w:sz w:val="44"/>
          <w:szCs w:val="44"/>
          <w:shd w:val="clear" w:color="auto" w:fill="FFFFFF"/>
          <w:lang w:val="en-US" w:eastAsia="zh-CN" w:bidi="ar-SA"/>
        </w:rPr>
        <w:t>基准规定（2021版）</w:t>
      </w:r>
    </w:p>
    <w:bookmarkEnd w:id="13"/>
    <w:p>
      <w:pPr>
        <w:keepNext w:val="0"/>
        <w:keepLines w:val="0"/>
        <w:pageBreakBefore w:val="0"/>
        <w:widowControl/>
        <w:kinsoku/>
        <w:wordWrap/>
        <w:overflowPunct/>
        <w:topLinePunct w:val="0"/>
        <w:autoSpaceDE/>
        <w:autoSpaceDN/>
        <w:bidi w:val="0"/>
        <w:adjustRightInd/>
        <w:snapToGrid/>
        <w:spacing w:after="313" w:after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第一条  </w:t>
      </w:r>
      <w:r>
        <w:rPr>
          <w:rFonts w:hint="eastAsia" w:ascii="仿宋_GB2312" w:hAnsi="仿宋_GB2312" w:eastAsia="仿宋_GB2312" w:cs="Times New Roman"/>
          <w:snapToGrid/>
          <w:kern w:val="2"/>
          <w:sz w:val="32"/>
          <w:szCs w:val="24"/>
          <w:lang w:val="en-US" w:eastAsia="zh-CN"/>
        </w:rPr>
        <w:t>为推进依法行政，进一步规范生态环境行政处罚裁量权的行使，依据《中华人民共和国行政处罚法》《环境行政处罚办法》《生态环境部关于进一步规范适用环境行政处罚自由裁量权的指导意见》等规定，结合本省实际情况，制定本规定。</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第二条 </w:t>
      </w:r>
      <w:r>
        <w:rPr>
          <w:rFonts w:hint="eastAsia" w:ascii="仿宋_GB2312" w:hAnsi="仿宋_GB2312" w:eastAsia="仿宋_GB2312" w:cs="Times New Roman"/>
          <w:snapToGrid/>
          <w:kern w:val="2"/>
          <w:sz w:val="32"/>
          <w:szCs w:val="24"/>
          <w:lang w:val="en-US" w:eastAsia="zh-CN"/>
        </w:rPr>
        <w:t xml:space="preserve"> 本规定适用于湖南省行政区域内生态环境部门的行政处罚裁量。设区的市州可以根据本地经济发展水平、产业及规模等实际情况，在本基准基础上，参照制定适用于本辖区的生态环境行政处罚裁量基准。</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第三条  </w:t>
      </w:r>
      <w:r>
        <w:rPr>
          <w:rFonts w:hint="eastAsia" w:ascii="仿宋_GB2312" w:hAnsi="仿宋_GB2312" w:eastAsia="仿宋_GB2312" w:cs="Times New Roman"/>
          <w:snapToGrid/>
          <w:kern w:val="2"/>
          <w:sz w:val="32"/>
          <w:szCs w:val="24"/>
          <w:lang w:val="en-US" w:eastAsia="zh-CN"/>
        </w:rPr>
        <w:t>生态环境保护行政处罚裁量权基准，是指生态环境部门结合行政执法实践，对法律、法规、规章中的生态环境违法行为进行行政处罚裁量的适用条件、适用情形等予以细化、量化而形成的具体标准。</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第四条  </w:t>
      </w:r>
      <w:r>
        <w:rPr>
          <w:rFonts w:hint="eastAsia" w:ascii="仿宋_GB2312" w:hAnsi="仿宋_GB2312" w:eastAsia="仿宋_GB2312" w:cs="Times New Roman"/>
          <w:snapToGrid/>
          <w:kern w:val="2"/>
          <w:sz w:val="32"/>
          <w:szCs w:val="24"/>
          <w:lang w:val="en-US" w:eastAsia="zh-CN"/>
        </w:rPr>
        <w:t>适用生态环境保护行政处罚裁量权基准，应当遵循合法、合理、过罚相当及公开公平公正原则。</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第五条  </w:t>
      </w:r>
      <w:r>
        <w:rPr>
          <w:rFonts w:hint="eastAsia" w:ascii="仿宋_GB2312" w:hAnsi="仿宋_GB2312" w:eastAsia="仿宋_GB2312" w:cs="Times New Roman"/>
          <w:snapToGrid/>
          <w:kern w:val="2"/>
          <w:sz w:val="32"/>
          <w:szCs w:val="24"/>
          <w:lang w:val="en-US" w:eastAsia="zh-CN"/>
        </w:rPr>
        <w:t>生态环境行政处罚的罚款金额裁量采用多因素裁量百分比模式，根据违法行为设定裁量起点和若干裁量因素，对裁量起点和各裁量因素在总百分值以内分别确定若干具体百分值，将违法行为对应的各项具体百分值累加后，乘以违法行为法定最高罚款数额或倍数，得出罚款金额。</w:t>
      </w:r>
    </w:p>
    <w:p>
      <w:pPr>
        <w:keepNext w:val="0"/>
        <w:keepLines w:val="0"/>
        <w:pageBreakBefore w:val="0"/>
        <w:widowControl/>
        <w:kinsoku/>
        <w:wordWrap/>
        <w:overflowPunct/>
        <w:topLinePunct w:val="0"/>
        <w:autoSpaceDE/>
        <w:autoSpaceDN/>
        <w:bidi w:val="0"/>
        <w:adjustRightInd/>
        <w:snapToGrid/>
        <w:spacing w:before="313" w:before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第六条 </w:t>
      </w:r>
      <w:r>
        <w:rPr>
          <w:rFonts w:hint="eastAsia" w:ascii="仿宋_GB2312" w:hAnsi="仿宋_GB2312" w:eastAsia="仿宋_GB2312" w:cs="Times New Roman"/>
          <w:snapToGrid/>
          <w:kern w:val="2"/>
          <w:sz w:val="32"/>
          <w:szCs w:val="24"/>
          <w:lang w:val="en-US" w:eastAsia="zh-CN"/>
        </w:rPr>
        <w:t xml:space="preserve"> 裁量因素是指影响违法行为裁量的因素，并根据违法情节的轻重程度细化为若干具体适用情形，即裁量因子。</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裁量因素的设置主要考虑以下内容：</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（一）违法行为所造成的环境污染、生态破坏程度及社会影响；</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（二）当事人的主观过错程度；</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（三）违法行为的具体方式或者手段；</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（四）违法行为危害的具体对象；</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（五）当事人的环境违法行为次数；</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（六）当事人改正违法行为的态度和所采取的改正措施及效果。</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第七条 </w:t>
      </w:r>
      <w:r>
        <w:rPr>
          <w:rFonts w:hint="eastAsia" w:ascii="仿宋_GB2312" w:hAnsi="仿宋_GB2312" w:eastAsia="仿宋_GB2312" w:cs="Times New Roman"/>
          <w:snapToGrid/>
          <w:kern w:val="2"/>
          <w:sz w:val="32"/>
          <w:szCs w:val="24"/>
          <w:lang w:val="en-US" w:eastAsia="zh-CN"/>
        </w:rPr>
        <w:t xml:space="preserve"> 违法行为行政处罚罚款金额裁量表分为两种：</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专用裁量表：对特定违法行为设定了专门的行政处罚罚款金额裁量表；</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通用裁量表：对除特定违法行为以外的其他违法行为设定通用行政处罚罚款金额裁量表。</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第八条 </w:t>
      </w:r>
      <w:r>
        <w:rPr>
          <w:rFonts w:hint="eastAsia" w:ascii="仿宋_GB2312" w:hAnsi="仿宋_GB2312" w:eastAsia="仿宋_GB2312" w:cs="Times New Roman"/>
          <w:snapToGrid/>
          <w:kern w:val="2"/>
          <w:sz w:val="32"/>
          <w:szCs w:val="24"/>
          <w:lang w:val="en-US" w:eastAsia="zh-CN"/>
        </w:rPr>
        <w:t xml:space="preserve"> 市州生态环境局应当按照以下步骤做好裁量：</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（一）选择适用的裁量表。根据违法行为选择相应的裁量表；有专用裁量表的应当适用专用裁量表，无专用裁量表的适用通用裁量表；</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（二）选定裁量起点。即违法行为法定最低罚款数额对应的裁量百分值，裁量表中有特殊规定的从其规定；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（三）确定各裁量因素的裁量百分值。根据违法行为事实逐一确定各裁量因素的百分值，再将各裁量因素的裁量百分值累加之和与裁量起点对应的裁量百分值相加得到裁量百分值总和；</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四）确定罚款金额。将裁量百分值总和乘以法定最高罚款数额或倍数得出基准罚款金额（罚款金额=裁量百分值总和×法定最高罚款数额或倍数），裁量表中有特殊计算公式的从其规定；基准罚款金额按有关规定集体审议后确定为罚款金额。</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第九条 </w:t>
      </w:r>
      <w:r>
        <w:rPr>
          <w:rFonts w:hint="eastAsia" w:ascii="仿宋_GB2312" w:hAnsi="仿宋_GB2312" w:eastAsia="仿宋_GB2312" w:cs="Times New Roman"/>
          <w:snapToGrid/>
          <w:kern w:val="2"/>
          <w:sz w:val="32"/>
          <w:szCs w:val="24"/>
          <w:lang w:val="en-US" w:eastAsia="zh-CN"/>
        </w:rPr>
        <w:t xml:space="preserve"> 有下列情形之一的，可以依法从重处罚：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（一）在案件查处过程中拒不配合、干扰、阻挠调查取证，以及对执法人员、举报人、证人进行威胁、辱骂、殴打、恐吓或者打击报复的；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（二）违法行为造成重大环境污染的；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（三）违法行为引起重大群体性事件，或被电视、电台、报刊、网络等主流媒体曝光且造成不良社会影响的；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highlight w:val="none"/>
          <w:lang w:val="en-US" w:eastAsia="zh-CN"/>
        </w:rPr>
      </w:pPr>
      <w:r>
        <w:rPr>
          <w:rFonts w:hint="eastAsia" w:ascii="仿宋_GB2312" w:hAnsi="仿宋_GB2312" w:eastAsia="仿宋_GB2312" w:cs="Times New Roman"/>
          <w:snapToGrid/>
          <w:kern w:val="2"/>
          <w:sz w:val="32"/>
          <w:szCs w:val="24"/>
          <w:highlight w:val="none"/>
          <w:lang w:val="en-US" w:eastAsia="zh-CN"/>
        </w:rPr>
        <w:t xml:space="preserve">（四）重污染天气预警期间超标排放大气污染物的； </w:t>
      </w:r>
    </w:p>
    <w:p>
      <w:pPr>
        <w:pStyle w:val="2"/>
        <w:rPr>
          <w:rFonts w:hint="eastAsia" w:ascii="仿宋_GB2312" w:hAnsi="仿宋_GB2312" w:eastAsia="仿宋_GB2312" w:cs="Times New Roman"/>
          <w:snapToGrid/>
          <w:color w:val="auto"/>
          <w:kern w:val="2"/>
          <w:sz w:val="32"/>
          <w:szCs w:val="24"/>
          <w:lang w:val="en-US" w:eastAsia="zh-CN" w:bidi="ar-SA"/>
        </w:rPr>
      </w:pPr>
      <w:r>
        <w:rPr>
          <w:rFonts w:hint="eastAsia" w:ascii="仿宋_GB2312" w:hAnsi="仿宋_GB2312" w:eastAsia="仿宋_GB2312" w:cs="Times New Roman"/>
          <w:snapToGrid/>
          <w:color w:val="auto"/>
          <w:kern w:val="2"/>
          <w:sz w:val="32"/>
          <w:szCs w:val="24"/>
          <w:lang w:val="en-US" w:eastAsia="zh-CN" w:bidi="ar-SA"/>
        </w:rPr>
        <w:t>（五）在生态环境保护督察及整改期间顶风作案的；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highlight w:val="none"/>
          <w:lang w:val="en-US" w:eastAsia="zh-CN"/>
        </w:rPr>
        <w:t>（六）</w:t>
      </w:r>
      <w:r>
        <w:rPr>
          <w:rFonts w:hint="eastAsia" w:ascii="仿宋_GB2312" w:hAnsi="仿宋_GB2312" w:eastAsia="仿宋_GB2312" w:cs="Times New Roman"/>
          <w:snapToGrid/>
          <w:kern w:val="2"/>
          <w:sz w:val="32"/>
          <w:szCs w:val="24"/>
          <w:lang w:val="en-US" w:eastAsia="zh-CN"/>
        </w:rPr>
        <w:t>其他符合从重处罚情形的。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对符合从重处罚情形的案件，在裁量时应当予以说明理由并经集体审议后，在裁量表裁定的基准罚款金额的基础上，增加一定罚款金额，但增加金额一般不超过法定最高罚款数额的20%，且从重处罚后的罚款金额不得高于法定最高罚款数额。</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对于造成重大突发环境事件、重大社会影响的违法行为，经集体审议后可以按照该违法行为的法定最高罚款数额予以处罚。</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第十条 </w:t>
      </w:r>
      <w:r>
        <w:rPr>
          <w:rFonts w:hint="eastAsia" w:ascii="仿宋_GB2312" w:hAnsi="仿宋_GB2312" w:eastAsia="仿宋_GB2312" w:cs="Times New Roman"/>
          <w:snapToGrid/>
          <w:kern w:val="2"/>
          <w:sz w:val="32"/>
          <w:szCs w:val="24"/>
          <w:lang w:val="en-US" w:eastAsia="zh-CN"/>
        </w:rPr>
        <w:t xml:space="preserve"> 有下列情形之一的，应当从轻或减轻处罚：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（一）主动消除或者减轻违法行为危害后果的；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（二）受他人胁迫或者诱骗实施违法行为的；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（三）主动供述生态环境部门尚未掌握的违法行为的；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（四）配合生态环境部门查处违法行为有立功表现的；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（五）法律、法规、规章规定其他应当从轻或减轻处罚情形的。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从轻处罚是指在依法可以选择的处罚种类和处罚幅度范围内，适用较轻、较少的处罚种类或者较低的处罚幅度。对符合从轻处罚情形的案件，在裁量时应当予以说明理由并经集体审议后，在裁量表裁定的罚款金额的基础上，减少一定罚款金额，但一般不超过法定最高罚款数额的20%，且从轻处罚后的罚款金额不得低于法定最低罚款数额。</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减轻处罚是指在依法可以选择的处罚种类和幅度的最低限度以下给予的处罚种类或处罚幅度，包括在违法行为应当受到一种或者几种处罚种类时选择更轻、更少的处罚种类，或者在应当并处时不并处，以及在法定最低罚款限值以下确定罚款数额。</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对符合减轻处罚情形的罚款处罚案件，应当在裁量表裁定的罚款金额的基础上，减少一定罚款金额，但一般不超过法定最低罚款数额的50%。</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default"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当事人有主动消除或者减轻生态环境损害后果意愿的，生态环境部门应当启动生态环境损害赔偿磋商程序，与当事人达成一致意见后签署生态环境损害赔偿协议。在作出行政处罚决定前，当事人对受损生态环境进行了修复或者对无法修复的进行了替代修复或赔偿，已履行全部生态环境损害赔偿义务的，生态环境损害赔偿协议、修复效果评估报告等相关文件应当作为从轻处罚的认定依据。</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第十一条  </w:t>
      </w:r>
      <w:r>
        <w:rPr>
          <w:rFonts w:hint="eastAsia" w:ascii="仿宋_GB2312" w:hAnsi="仿宋_GB2312" w:eastAsia="仿宋_GB2312" w:cs="Times New Roman"/>
          <w:snapToGrid/>
          <w:kern w:val="2"/>
          <w:sz w:val="32"/>
          <w:szCs w:val="24"/>
          <w:lang w:val="en-US" w:eastAsia="zh-CN"/>
        </w:rPr>
        <w:t>当事人有下列情形之一的，应当不予处罚：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（一）违法行为轻微并及时改正，没有造成危害后果的；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（二）除法律、行政法规另有规定外，当事人有证据足以证明没有主观过错的；</w:t>
      </w:r>
    </w:p>
    <w:p>
      <w:pPr>
        <w:pStyle w:val="2"/>
        <w:rPr>
          <w:rFonts w:hint="eastAsia" w:ascii="仿宋_GB2312" w:hAnsi="仿宋_GB2312" w:eastAsia="仿宋_GB2312" w:cs="Times New Roman"/>
          <w:snapToGrid/>
          <w:color w:val="auto"/>
          <w:kern w:val="2"/>
          <w:sz w:val="32"/>
          <w:szCs w:val="24"/>
          <w:lang w:val="en-US" w:eastAsia="zh-CN" w:bidi="ar-SA"/>
        </w:rPr>
      </w:pPr>
      <w:r>
        <w:rPr>
          <w:rFonts w:hint="eastAsia" w:ascii="仿宋_GB2312" w:hAnsi="仿宋_GB2312" w:eastAsia="仿宋_GB2312" w:cs="Times New Roman"/>
          <w:snapToGrid/>
          <w:color w:val="auto"/>
          <w:kern w:val="2"/>
          <w:sz w:val="32"/>
          <w:szCs w:val="24"/>
          <w:lang w:val="en-US" w:eastAsia="zh-CN" w:bidi="ar-SA"/>
        </w:rPr>
        <w:t>（三）法律、法规、规章规定其他应当不予处罚情形的。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color w:val="auto"/>
          <w:kern w:val="2"/>
          <w:sz w:val="32"/>
          <w:szCs w:val="24"/>
          <w:lang w:val="en-US" w:eastAsia="zh-CN" w:bidi="ar-SA"/>
        </w:rPr>
        <w:t>当事人系初次违法且危害后果轻微并及时改正</w:t>
      </w:r>
      <w:r>
        <w:rPr>
          <w:rFonts w:hint="eastAsia" w:ascii="仿宋_GB2312" w:hAnsi="仿宋_GB2312" w:eastAsia="仿宋_GB2312" w:cs="Times New Roman"/>
          <w:snapToGrid/>
          <w:kern w:val="2"/>
          <w:sz w:val="32"/>
          <w:szCs w:val="24"/>
          <w:lang w:val="en-US" w:eastAsia="zh-CN"/>
        </w:rPr>
        <w:t>的，可以不予处罚。</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对当事人的违法行为依法不予行政处罚的，生态环境部门应当对其进行教育。</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default"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对符合不予行政处罚情形的案件，在裁量时应当予以说明理由并经集体审议后决定。</w:t>
      </w:r>
    </w:p>
    <w:p>
      <w:pPr>
        <w:keepNext w:val="0"/>
        <w:keepLines w:val="0"/>
        <w:pageBreakBefore w:val="0"/>
        <w:widowControl/>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第十二条 </w:t>
      </w:r>
      <w:r>
        <w:rPr>
          <w:rFonts w:hint="eastAsia" w:ascii="仿宋_GB2312" w:hAnsi="仿宋_GB2312" w:eastAsia="仿宋_GB2312" w:cs="Times New Roman"/>
          <w:snapToGrid/>
          <w:kern w:val="2"/>
          <w:sz w:val="32"/>
          <w:szCs w:val="24"/>
          <w:lang w:val="en-US" w:eastAsia="zh-CN"/>
        </w:rPr>
        <w:t xml:space="preserve"> 既有从轻、减轻或者不予处罚的情形，又有从重处罚情形的，应当综合衡量考虑，根据主要情节作出处罚决定。</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default"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当事人存在“确有经济困难”情形的，一般不直接适用从轻、减轻或不予处罚规定，经当事人申请，生态环境部门可以根据《行政处罚法》相关规定，批准其暂缓或者分期缴纳罚款。</w:t>
      </w:r>
    </w:p>
    <w:p>
      <w:pPr>
        <w:keepNext w:val="0"/>
        <w:keepLines w:val="0"/>
        <w:pageBreakBefore w:val="0"/>
        <w:widowControl/>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第十三条 </w:t>
      </w:r>
      <w:r>
        <w:rPr>
          <w:rFonts w:hint="eastAsia" w:ascii="仿宋_GB2312" w:hAnsi="仿宋_GB2312" w:eastAsia="仿宋_GB2312" w:cs="Times New Roman"/>
          <w:snapToGrid/>
          <w:kern w:val="2"/>
          <w:sz w:val="32"/>
          <w:szCs w:val="24"/>
          <w:lang w:val="en-US" w:eastAsia="zh-CN"/>
        </w:rPr>
        <w:t xml:space="preserve"> 执法人员在案件调查取证过程中，应当以本裁量规定和基准为指导，全面调查有关违法行为的情节及后果并收集相关证据；在完成案件的调查取证后，提出具体行政处罚的建议，并附上裁量适用依据。</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案件审查过程中，审查人员应当严格按照裁量规定和基准,对具体案件违法行为和情节的定量证据进行审查；重大执法决定法制审核时，应当对案件的裁量情况和证据进行法制审核，并出具书面的法制审核意见；经集体审议的案件应当专门对案件的裁量情况进行审议，书面记录审议结果，并随案卷归档。</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对需突破裁量基准进行处罚的案件，应当经案件办理机关集体审议决定，并在处罚决定说明理由。集体讨论决定的记录、理由和相关证据材料应当附卷。</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0"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snapToGrid/>
          <w:kern w:val="2"/>
          <w:sz w:val="32"/>
          <w:szCs w:val="24"/>
          <w:lang w:val="en-US" w:eastAsia="zh-CN"/>
        </w:rPr>
        <w:t>案件办理的全过程应严格执行行政执法公示制度、执法全过程记录制度、重大执法决定法制审核制度，并统一使用湖南省移动执法系统。</w:t>
      </w:r>
    </w:p>
    <w:p>
      <w:pPr>
        <w:keepNext w:val="0"/>
        <w:keepLines w:val="0"/>
        <w:pageBreakBefore w:val="0"/>
        <w:widowControl/>
        <w:kinsoku/>
        <w:wordWrap/>
        <w:overflowPunct/>
        <w:topLinePunct w:val="0"/>
        <w:autoSpaceDE/>
        <w:autoSpaceDN/>
        <w:bidi w:val="0"/>
        <w:adjustRightInd/>
        <w:snapToGrid/>
        <w:spacing w:before="313" w:beforeLines="100" w:line="600" w:lineRule="exact"/>
        <w:ind w:firstLine="642" w:firstLineChars="200"/>
        <w:textAlignment w:val="auto"/>
        <w:rPr>
          <w:rFonts w:hint="default" w:ascii="仿宋_GB2312" w:hAnsi="仿宋_GB2312" w:eastAsia="仿宋_GB2312" w:cs="Times New Roman"/>
          <w:snapToGrid/>
          <w:kern w:val="2"/>
          <w:sz w:val="32"/>
          <w:szCs w:val="24"/>
          <w:lang w:val="en-US" w:eastAsia="zh-CN"/>
        </w:rPr>
      </w:pPr>
      <w:r>
        <w:rPr>
          <w:rFonts w:hint="default" w:ascii="仿宋_GB2312" w:hAnsi="仿宋_GB2312" w:eastAsia="仿宋_GB2312" w:cs="Times New Roman"/>
          <w:b/>
          <w:bCs/>
          <w:snapToGrid/>
          <w:kern w:val="2"/>
          <w:sz w:val="32"/>
          <w:szCs w:val="24"/>
          <w:lang w:val="en-US" w:eastAsia="zh-CN"/>
        </w:rPr>
        <w:t>第</w:t>
      </w:r>
      <w:r>
        <w:rPr>
          <w:rFonts w:hint="eastAsia" w:ascii="仿宋_GB2312" w:hAnsi="仿宋_GB2312" w:eastAsia="仿宋_GB2312" w:cs="Times New Roman"/>
          <w:b/>
          <w:bCs/>
          <w:snapToGrid/>
          <w:kern w:val="2"/>
          <w:sz w:val="32"/>
          <w:szCs w:val="24"/>
          <w:lang w:val="en-US" w:eastAsia="zh-CN"/>
        </w:rPr>
        <w:t>十四</w:t>
      </w:r>
      <w:r>
        <w:rPr>
          <w:rFonts w:hint="default" w:ascii="仿宋_GB2312" w:hAnsi="仿宋_GB2312" w:eastAsia="仿宋_GB2312" w:cs="Times New Roman"/>
          <w:b/>
          <w:bCs/>
          <w:snapToGrid/>
          <w:kern w:val="2"/>
          <w:sz w:val="32"/>
          <w:szCs w:val="24"/>
          <w:lang w:val="en-US" w:eastAsia="zh-CN"/>
        </w:rPr>
        <w:t>条</w:t>
      </w:r>
      <w:r>
        <w:rPr>
          <w:rFonts w:hint="default" w:ascii="仿宋_GB2312" w:hAnsi="仿宋_GB2312" w:eastAsia="仿宋_GB2312" w:cs="Times New Roman"/>
          <w:snapToGrid/>
          <w:kern w:val="2"/>
          <w:sz w:val="32"/>
          <w:szCs w:val="24"/>
          <w:lang w:val="en-US" w:eastAsia="zh-CN"/>
        </w:rPr>
        <w:t xml:space="preserve">  实施行政处罚过程中，除罚款处罚外，对符合法定的警告、通报批评、没收违法所得、没收非法财物、暂扣许可证件、降低资质等级、吊销许可证件、限制开展生产经营活动、责令停产停业、责令关闭、限制从业等其他处罚种类情形的，生态环境主管部门还应依法及时作出相应处罚。</w:t>
      </w:r>
    </w:p>
    <w:p>
      <w:pPr>
        <w:keepNext w:val="0"/>
        <w:keepLines w:val="0"/>
        <w:pageBreakBefore w:val="0"/>
        <w:widowControl/>
        <w:kinsoku/>
        <w:wordWrap/>
        <w:overflowPunct/>
        <w:topLinePunct w:val="0"/>
        <w:autoSpaceDE/>
        <w:autoSpaceDN/>
        <w:bidi w:val="0"/>
        <w:adjustRightInd/>
        <w:snapToGrid/>
        <w:spacing w:before="0" w:beforeLines="0" w:line="600" w:lineRule="exact"/>
        <w:ind w:firstLine="640" w:firstLineChars="200"/>
        <w:textAlignment w:val="auto"/>
        <w:rPr>
          <w:rFonts w:hint="default" w:ascii="仿宋_GB2312" w:hAnsi="仿宋_GB2312" w:eastAsia="仿宋_GB2312" w:cs="Times New Roman"/>
          <w:snapToGrid/>
          <w:kern w:val="2"/>
          <w:sz w:val="32"/>
          <w:szCs w:val="24"/>
          <w:lang w:val="en-US" w:eastAsia="zh-CN"/>
        </w:rPr>
      </w:pPr>
      <w:r>
        <w:rPr>
          <w:rFonts w:hint="default" w:ascii="仿宋_GB2312" w:hAnsi="仿宋_GB2312" w:eastAsia="仿宋_GB2312" w:cs="Times New Roman"/>
          <w:snapToGrid/>
          <w:kern w:val="2"/>
          <w:sz w:val="32"/>
          <w:szCs w:val="24"/>
          <w:lang w:val="en-US" w:eastAsia="zh-CN"/>
        </w:rPr>
        <w:t>对涉嫌环境污染犯罪的案件，生态环境主管部门应当及时移送司法机关，依法追究刑事责任；案件移送之前已作出罚款行政处罚决定的，应将相关材料一并移送。</w:t>
      </w:r>
    </w:p>
    <w:p>
      <w:pPr>
        <w:keepNext w:val="0"/>
        <w:keepLines w:val="0"/>
        <w:pageBreakBefore w:val="0"/>
        <w:widowControl/>
        <w:kinsoku/>
        <w:wordWrap/>
        <w:overflowPunct/>
        <w:topLinePunct w:val="0"/>
        <w:autoSpaceDE/>
        <w:autoSpaceDN/>
        <w:bidi w:val="0"/>
        <w:adjustRightInd/>
        <w:snapToGrid/>
        <w:spacing w:before="313" w:beforeLines="100" w:after="313" w:after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第十五条 </w:t>
      </w:r>
      <w:r>
        <w:rPr>
          <w:rFonts w:hint="eastAsia" w:ascii="仿宋_GB2312" w:hAnsi="仿宋_GB2312" w:eastAsia="仿宋_GB2312" w:cs="Times New Roman"/>
          <w:snapToGrid/>
          <w:kern w:val="2"/>
          <w:sz w:val="32"/>
          <w:szCs w:val="24"/>
          <w:lang w:val="en-US" w:eastAsia="zh-CN"/>
        </w:rPr>
        <w:t xml:space="preserve"> 湖南省生态环境厅可以采取执法稽查、执法案卷评查等执法监督方式，对市州生态环境局适用裁量基准的情况进行监督。发现违反本规定，不当行使裁量基准的，应当责令纠正。</w:t>
      </w:r>
    </w:p>
    <w:p>
      <w:pPr>
        <w:keepNext w:val="0"/>
        <w:keepLines w:val="0"/>
        <w:pageBreakBefore w:val="0"/>
        <w:widowControl/>
        <w:kinsoku/>
        <w:wordWrap/>
        <w:overflowPunct/>
        <w:topLinePunct w:val="0"/>
        <w:autoSpaceDE/>
        <w:autoSpaceDN/>
        <w:bidi w:val="0"/>
        <w:adjustRightInd/>
        <w:snapToGrid/>
        <w:spacing w:after="0" w:afterLines="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第十六条 </w:t>
      </w:r>
      <w:r>
        <w:rPr>
          <w:rFonts w:hint="eastAsia" w:ascii="仿宋_GB2312" w:hAnsi="仿宋_GB2312" w:eastAsia="仿宋_GB2312" w:cs="Times New Roman"/>
          <w:snapToGrid/>
          <w:kern w:val="2"/>
          <w:sz w:val="32"/>
          <w:szCs w:val="24"/>
          <w:lang w:val="en-US" w:eastAsia="zh-CN"/>
        </w:rPr>
        <w:t xml:space="preserve"> 本规定由湖南省生态环境厅负责解释。湖南省生态环境厅可以根据生态环境行政执法的具体情况，对本规定适时进行调整和修正。</w:t>
      </w:r>
    </w:p>
    <w:p>
      <w:pPr>
        <w:widowControl/>
        <w:autoSpaceDE/>
        <w:autoSpaceDN/>
        <w:snapToGrid/>
        <w:spacing w:after="313" w:afterLines="100" w:line="600" w:lineRule="exact"/>
        <w:ind w:firstLine="640" w:firstLineChars="200"/>
        <w:rPr>
          <w:rFonts w:hint="eastAsia" w:ascii="仿宋_GB2312" w:hAnsi="仿宋_GB2312" w:eastAsia="仿宋_GB2312"/>
          <w:snapToGrid/>
          <w:kern w:val="2"/>
          <w:szCs w:val="24"/>
          <w:lang w:val="en-US" w:eastAsia="zh-CN"/>
        </w:rPr>
      </w:pPr>
      <w:r>
        <w:rPr>
          <w:rFonts w:hint="eastAsia" w:ascii="仿宋_GB2312" w:hAnsi="仿宋_GB2312" w:eastAsia="仿宋_GB2312"/>
          <w:snapToGrid/>
          <w:spacing w:val="0"/>
          <w:kern w:val="2"/>
          <w:sz w:val="32"/>
          <w:szCs w:val="24"/>
          <w:lang w:val="en-US" w:eastAsia="zh-CN"/>
        </w:rPr>
        <w:t>湖南</w:t>
      </w:r>
      <w:r>
        <w:rPr>
          <w:rFonts w:hint="eastAsia" w:ascii="仿宋_GB2312" w:hAnsi="仿宋_GB2312" w:eastAsia="仿宋_GB2312"/>
          <w:snapToGrid/>
          <w:color w:val="000000"/>
          <w:spacing w:val="0"/>
          <w:kern w:val="2"/>
          <w:sz w:val="32"/>
          <w:szCs w:val="24"/>
          <w:lang w:eastAsia="zh-CN"/>
        </w:rPr>
        <w:t>省生态环境厅按照</w:t>
      </w:r>
      <w:r>
        <w:rPr>
          <w:rFonts w:hint="eastAsia" w:ascii="仿宋_GB2312" w:hAnsi="仿宋_GB2312" w:eastAsia="仿宋_GB2312"/>
          <w:snapToGrid/>
          <w:color w:val="000000"/>
          <w:spacing w:val="0"/>
          <w:kern w:val="2"/>
          <w:sz w:val="32"/>
          <w:szCs w:val="24"/>
        </w:rPr>
        <w:t>本</w:t>
      </w:r>
      <w:r>
        <w:rPr>
          <w:rFonts w:hint="eastAsia" w:ascii="仿宋_GB2312" w:hAnsi="仿宋_GB2312" w:eastAsia="仿宋_GB2312"/>
          <w:snapToGrid/>
          <w:color w:val="000000"/>
          <w:spacing w:val="0"/>
          <w:kern w:val="2"/>
          <w:sz w:val="32"/>
          <w:szCs w:val="24"/>
          <w:lang w:eastAsia="zh-CN"/>
        </w:rPr>
        <w:t>规定</w:t>
      </w:r>
      <w:r>
        <w:rPr>
          <w:rFonts w:hint="eastAsia" w:ascii="仿宋_GB2312" w:hAnsi="仿宋_GB2312" w:eastAsia="仿宋_GB2312"/>
          <w:snapToGrid/>
          <w:color w:val="000000"/>
          <w:spacing w:val="0"/>
          <w:kern w:val="2"/>
          <w:sz w:val="32"/>
          <w:szCs w:val="24"/>
        </w:rPr>
        <w:t>对法律、法规、规章</w:t>
      </w:r>
      <w:r>
        <w:rPr>
          <w:rFonts w:hint="eastAsia" w:ascii="仿宋_GB2312" w:hAnsi="仿宋_GB2312" w:eastAsia="仿宋_GB2312"/>
          <w:snapToGrid/>
          <w:color w:val="000000"/>
          <w:spacing w:val="0"/>
          <w:kern w:val="2"/>
          <w:sz w:val="32"/>
          <w:szCs w:val="24"/>
          <w:lang w:eastAsia="zh-CN"/>
        </w:rPr>
        <w:t>规定</w:t>
      </w:r>
      <w:r>
        <w:rPr>
          <w:rFonts w:hint="eastAsia" w:ascii="仿宋_GB2312" w:hAnsi="仿宋_GB2312" w:eastAsia="仿宋_GB2312"/>
          <w:snapToGrid/>
          <w:color w:val="000000"/>
          <w:spacing w:val="0"/>
          <w:kern w:val="2"/>
          <w:sz w:val="32"/>
          <w:szCs w:val="24"/>
        </w:rPr>
        <w:t>中可以量化和细化的</w:t>
      </w:r>
      <w:r>
        <w:rPr>
          <w:rFonts w:hint="eastAsia" w:ascii="仿宋_GB2312" w:hAnsi="仿宋_GB2312" w:eastAsia="仿宋_GB2312"/>
          <w:snapToGrid/>
          <w:color w:val="000000"/>
          <w:spacing w:val="0"/>
          <w:kern w:val="2"/>
          <w:sz w:val="32"/>
          <w:szCs w:val="24"/>
          <w:lang w:eastAsia="zh-CN"/>
        </w:rPr>
        <w:t>罚款处罚</w:t>
      </w:r>
      <w:r>
        <w:rPr>
          <w:rFonts w:hint="eastAsia" w:ascii="仿宋_GB2312" w:hAnsi="仿宋_GB2312" w:eastAsia="仿宋_GB2312"/>
          <w:snapToGrid/>
          <w:color w:val="000000"/>
          <w:spacing w:val="0"/>
          <w:kern w:val="2"/>
          <w:sz w:val="32"/>
          <w:szCs w:val="24"/>
        </w:rPr>
        <w:t>裁量权的内容进行梳理，制定《</w:t>
      </w:r>
      <w:r>
        <w:rPr>
          <w:rFonts w:hint="eastAsia" w:ascii="仿宋_GB2312" w:hAnsi="仿宋_GB2312" w:eastAsia="仿宋_GB2312"/>
          <w:b w:val="0"/>
          <w:bCs w:val="0"/>
          <w:snapToGrid/>
          <w:kern w:val="2"/>
          <w:sz w:val="32"/>
          <w:szCs w:val="24"/>
          <w:lang w:eastAsia="zh-CN"/>
        </w:rPr>
        <w:t>湖南</w:t>
      </w:r>
      <w:r>
        <w:rPr>
          <w:rFonts w:hint="eastAsia" w:ascii="仿宋_GB2312" w:hAnsi="仿宋_GB2312" w:eastAsia="仿宋_GB2312"/>
          <w:b w:val="0"/>
          <w:bCs w:val="0"/>
          <w:snapToGrid/>
          <w:kern w:val="2"/>
          <w:sz w:val="32"/>
          <w:szCs w:val="24"/>
        </w:rPr>
        <w:t>省生态环境违法行为行政处罚罚款金额裁量表</w:t>
      </w:r>
      <w:r>
        <w:rPr>
          <w:rFonts w:hint="eastAsia" w:ascii="仿宋_GB2312" w:hAnsi="仿宋_GB2312" w:eastAsia="仿宋_GB2312"/>
          <w:snapToGrid/>
          <w:color w:val="000000"/>
          <w:spacing w:val="0"/>
          <w:kern w:val="2"/>
          <w:sz w:val="32"/>
          <w:szCs w:val="24"/>
        </w:rPr>
        <w:t>》</w:t>
      </w:r>
      <w:r>
        <w:rPr>
          <w:rFonts w:hint="eastAsia" w:ascii="仿宋_GB2312" w:hAnsi="仿宋_GB2312" w:eastAsia="仿宋_GB2312"/>
          <w:snapToGrid/>
          <w:color w:val="000000"/>
          <w:spacing w:val="0"/>
          <w:kern w:val="2"/>
          <w:sz w:val="32"/>
          <w:szCs w:val="24"/>
          <w:lang w:eastAsia="zh-CN"/>
        </w:rPr>
        <w:t>（附后），供各市州生态环境局予以参考适用</w:t>
      </w:r>
      <w:r>
        <w:rPr>
          <w:rFonts w:hint="eastAsia" w:ascii="仿宋_GB2312" w:hAnsi="仿宋_GB2312" w:eastAsia="仿宋_GB2312"/>
          <w:snapToGrid/>
          <w:color w:val="000000"/>
          <w:spacing w:val="0"/>
          <w:kern w:val="2"/>
          <w:sz w:val="32"/>
          <w:szCs w:val="24"/>
        </w:rPr>
        <w:t>。裁量</w:t>
      </w:r>
      <w:r>
        <w:rPr>
          <w:rFonts w:hint="eastAsia" w:ascii="仿宋_GB2312" w:hAnsi="仿宋_GB2312" w:eastAsia="仿宋_GB2312"/>
          <w:snapToGrid/>
          <w:color w:val="000000"/>
          <w:spacing w:val="0"/>
          <w:kern w:val="2"/>
          <w:sz w:val="32"/>
          <w:szCs w:val="24"/>
          <w:lang w:eastAsia="zh-CN"/>
        </w:rPr>
        <w:t>表</w:t>
      </w:r>
      <w:r>
        <w:rPr>
          <w:rFonts w:hint="eastAsia" w:ascii="仿宋_GB2312" w:hAnsi="仿宋_GB2312" w:eastAsia="仿宋_GB2312"/>
          <w:snapToGrid/>
          <w:color w:val="000000"/>
          <w:spacing w:val="0"/>
          <w:kern w:val="2"/>
          <w:sz w:val="32"/>
          <w:szCs w:val="24"/>
        </w:rPr>
        <w:t>中没有规定的情形，应当根据相应法律、法规、规章及本办法确定的原则行使行政处罚裁量权。</w:t>
      </w:r>
    </w:p>
    <w:p>
      <w:pPr>
        <w:keepNext w:val="0"/>
        <w:keepLines w:val="0"/>
        <w:pageBreakBefore w:val="0"/>
        <w:widowControl/>
        <w:kinsoku/>
        <w:wordWrap/>
        <w:overflowPunct/>
        <w:topLinePunct w:val="0"/>
        <w:autoSpaceDE/>
        <w:autoSpaceDN/>
        <w:bidi w:val="0"/>
        <w:adjustRightInd/>
        <w:snapToGrid/>
        <w:spacing w:after="313" w:afterLines="100" w:line="600" w:lineRule="exact"/>
        <w:ind w:firstLine="642" w:firstLineChars="200"/>
        <w:textAlignment w:val="auto"/>
        <w:rPr>
          <w:rFonts w:hint="eastAsia" w:ascii="仿宋_GB2312" w:hAnsi="仿宋_GB2312" w:eastAsia="仿宋_GB2312" w:cs="Times New Roman"/>
          <w:snapToGrid/>
          <w:kern w:val="2"/>
          <w:sz w:val="32"/>
          <w:szCs w:val="24"/>
          <w:lang w:val="en-US" w:eastAsia="zh-CN"/>
        </w:rPr>
      </w:pPr>
      <w:r>
        <w:rPr>
          <w:rFonts w:hint="eastAsia" w:ascii="仿宋_GB2312" w:hAnsi="仿宋_GB2312" w:eastAsia="仿宋_GB2312" w:cs="Times New Roman"/>
          <w:b/>
          <w:bCs/>
          <w:snapToGrid/>
          <w:kern w:val="2"/>
          <w:sz w:val="32"/>
          <w:szCs w:val="24"/>
          <w:lang w:val="en-US" w:eastAsia="zh-CN"/>
        </w:rPr>
        <w:t xml:space="preserve">第十七条 </w:t>
      </w:r>
      <w:r>
        <w:rPr>
          <w:rFonts w:hint="eastAsia" w:ascii="仿宋_GB2312" w:hAnsi="仿宋_GB2312" w:eastAsia="仿宋_GB2312" w:cs="Times New Roman"/>
          <w:snapToGrid/>
          <w:kern w:val="2"/>
          <w:sz w:val="32"/>
          <w:szCs w:val="24"/>
          <w:lang w:val="en-US" w:eastAsia="zh-CN"/>
        </w:rPr>
        <w:t xml:space="preserve"> 本规定自印发之日起实施。《湖南省环境保护行政处罚裁量权基准》（湘环发〔2018〕12号）同时废止。</w:t>
      </w:r>
    </w:p>
    <w:p>
      <w:pPr>
        <w:pStyle w:val="2"/>
        <w:rPr>
          <w:rFonts w:hint="eastAsia" w:ascii="仿宋_GB2312" w:hAnsi="仿宋_GB2312" w:eastAsia="仿宋_GB2312" w:cs="Times New Roman"/>
          <w:snapToGrid/>
          <w:kern w:val="2"/>
          <w:sz w:val="32"/>
          <w:szCs w:val="24"/>
          <w:lang w:val="en-US" w:eastAsia="zh-CN"/>
        </w:rPr>
      </w:pPr>
    </w:p>
    <w:p>
      <w:pPr>
        <w:pStyle w:val="2"/>
        <w:rPr>
          <w:rFonts w:hint="eastAsia" w:ascii="仿宋_GB2312" w:hAnsi="仿宋_GB2312" w:eastAsia="仿宋_GB2312" w:cs="Times New Roman"/>
          <w:snapToGrid/>
          <w:kern w:val="2"/>
          <w:sz w:val="32"/>
          <w:szCs w:val="24"/>
          <w:lang w:val="en-US" w:eastAsia="zh-CN"/>
        </w:rPr>
      </w:pPr>
    </w:p>
    <w:p>
      <w:pPr>
        <w:pStyle w:val="2"/>
        <w:rPr>
          <w:rFonts w:hint="eastAsia" w:ascii="仿宋_GB2312" w:hAnsi="仿宋_GB2312" w:eastAsia="仿宋_GB2312" w:cs="Times New Roman"/>
          <w:snapToGrid/>
          <w:kern w:val="2"/>
          <w:sz w:val="32"/>
          <w:szCs w:val="24"/>
          <w:lang w:val="en-US" w:eastAsia="zh-CN"/>
        </w:rPr>
      </w:pPr>
    </w:p>
    <w:p>
      <w:pPr>
        <w:pStyle w:val="2"/>
        <w:rPr>
          <w:rFonts w:hint="eastAsia" w:ascii="仿宋_GB2312" w:hAnsi="仿宋_GB2312" w:eastAsia="仿宋_GB2312" w:cs="Times New Roman"/>
          <w:snapToGrid/>
          <w:kern w:val="2"/>
          <w:sz w:val="32"/>
          <w:szCs w:val="24"/>
          <w:lang w:val="en-US" w:eastAsia="zh-CN"/>
        </w:rPr>
      </w:pPr>
    </w:p>
    <w:p>
      <w:pPr>
        <w:pStyle w:val="2"/>
        <w:rPr>
          <w:rFonts w:hint="eastAsia" w:ascii="仿宋_GB2312" w:hAnsi="仿宋_GB2312" w:eastAsia="仿宋_GB2312" w:cs="Times New Roman"/>
          <w:snapToGrid/>
          <w:kern w:val="2"/>
          <w:sz w:val="32"/>
          <w:szCs w:val="24"/>
          <w:lang w:val="en-US" w:eastAsia="zh-CN"/>
        </w:rPr>
      </w:pPr>
    </w:p>
    <w:p>
      <w:pPr>
        <w:pStyle w:val="2"/>
        <w:rPr>
          <w:rFonts w:hint="eastAsia" w:ascii="仿宋_GB2312" w:hAnsi="仿宋_GB2312" w:eastAsia="仿宋_GB2312" w:cs="Times New Roman"/>
          <w:snapToGrid/>
          <w:kern w:val="2"/>
          <w:sz w:val="32"/>
          <w:szCs w:val="24"/>
          <w:lang w:val="en-US" w:eastAsia="zh-CN"/>
        </w:rPr>
      </w:pPr>
    </w:p>
    <w:p>
      <w:pPr>
        <w:spacing w:line="240" w:lineRule="auto"/>
        <w:ind w:firstLine="0"/>
        <w:rPr>
          <w:rFonts w:hint="default" w:eastAsia="黑体"/>
          <w:bCs/>
          <w:szCs w:val="32"/>
          <w:lang w:val="en-US" w:eastAsia="zh-CN"/>
        </w:rPr>
      </w:pPr>
      <w:r>
        <w:rPr>
          <w:rFonts w:hint="eastAsia" w:eastAsia="黑体"/>
          <w:bCs/>
          <w:szCs w:val="32"/>
          <w:lang w:val="en-US" w:eastAsia="zh-CN"/>
        </w:rPr>
        <w:t>附表</w:t>
      </w:r>
    </w:p>
    <w:p>
      <w:pPr>
        <w:pStyle w:val="11"/>
        <w:rPr>
          <w:rFonts w:hint="eastAsia"/>
          <w:b/>
          <w:bCs/>
          <w:sz w:val="48"/>
          <w:szCs w:val="21"/>
          <w:lang w:eastAsia="zh-CN"/>
        </w:rPr>
      </w:pPr>
    </w:p>
    <w:p>
      <w:pPr>
        <w:pStyle w:val="11"/>
        <w:rPr>
          <w:rFonts w:hint="eastAsia"/>
          <w:b/>
          <w:bCs/>
          <w:sz w:val="48"/>
          <w:szCs w:val="21"/>
        </w:rPr>
      </w:pPr>
      <w:r>
        <w:rPr>
          <w:rFonts w:hint="eastAsia"/>
          <w:b/>
          <w:bCs/>
          <w:sz w:val="48"/>
          <w:szCs w:val="21"/>
          <w:lang w:eastAsia="zh-CN"/>
        </w:rPr>
        <w:t>湖南</w:t>
      </w:r>
      <w:r>
        <w:rPr>
          <w:b/>
          <w:bCs/>
          <w:sz w:val="48"/>
          <w:szCs w:val="21"/>
        </w:rPr>
        <w:t>省生态环境违法行为行政处罚</w:t>
      </w:r>
    </w:p>
    <w:p>
      <w:pPr>
        <w:pStyle w:val="11"/>
        <w:rPr>
          <w:rFonts w:hint="eastAsia"/>
          <w:sz w:val="48"/>
          <w:szCs w:val="21"/>
        </w:rPr>
      </w:pPr>
      <w:r>
        <w:rPr>
          <w:b/>
          <w:bCs/>
          <w:sz w:val="48"/>
          <w:szCs w:val="21"/>
        </w:rPr>
        <w:t>罚款金额裁量表</w:t>
      </w:r>
    </w:p>
    <w:p>
      <w:pPr>
        <w:spacing w:line="240" w:lineRule="auto"/>
        <w:ind w:firstLine="0"/>
        <w:rPr>
          <w:rFonts w:eastAsia="黑体"/>
          <w:bCs/>
          <w:szCs w:val="32"/>
        </w:rPr>
      </w:pPr>
    </w:p>
    <w:sdt>
      <w:sdtPr>
        <w:rPr>
          <w:rFonts w:ascii="宋体" w:hAnsi="宋体" w:eastAsia="宋体" w:cs="Times New Roman"/>
          <w:snapToGrid w:val="0"/>
          <w:sz w:val="21"/>
          <w:lang w:val="en-US" w:eastAsia="zh-CN" w:bidi="ar-SA"/>
        </w:rPr>
        <w:id w:val="147453384"/>
        <w15:color w:val="DBDBDB"/>
        <w:docPartObj>
          <w:docPartGallery w:val="Table of Contents"/>
          <w:docPartUnique/>
        </w:docPartObj>
      </w:sdtPr>
      <w:sdtEndPr>
        <w:rPr>
          <w:rFonts w:hint="eastAsia" w:ascii="Times New Roman" w:hAnsi="Times New Roman" w:eastAsia="黑体" w:cs="Times New Roman"/>
          <w:b/>
          <w:bCs/>
          <w:snapToGrid w:val="0"/>
          <w:color w:val="000000"/>
          <w:kern w:val="0"/>
          <w:sz w:val="24"/>
          <w:szCs w:val="32"/>
          <w:lang w:val="en-US" w:eastAsia="zh-CN" w:bidi="ar-SA"/>
        </w:rPr>
      </w:sdtEndPr>
      <w:sdtContent>
        <w:p>
          <w:pPr>
            <w:spacing w:before="0" w:beforeLines="0" w:after="0" w:afterLines="0" w:line="240" w:lineRule="auto"/>
            <w:ind w:left="0" w:leftChars="0" w:right="0" w:rightChars="0" w:firstLine="0" w:firstLineChars="0"/>
            <w:jc w:val="center"/>
            <w:rPr>
              <w:sz w:val="36"/>
            </w:rPr>
          </w:pPr>
          <w:r>
            <w:rPr>
              <w:rFonts w:ascii="宋体" w:hAnsi="宋体" w:eastAsia="宋体"/>
              <w:sz w:val="36"/>
            </w:rPr>
            <w:t>目录</w:t>
          </w:r>
        </w:p>
        <w:p>
          <w:pPr>
            <w:pStyle w:val="6"/>
            <w:tabs>
              <w:tab w:val="right" w:leader="dot" w:pos="8306"/>
            </w:tabs>
          </w:pPr>
          <w:r>
            <w:rPr>
              <w:rFonts w:hint="eastAsia" w:eastAsia="黑体"/>
              <w:bCs/>
              <w:szCs w:val="32"/>
              <w:lang w:val="en-US" w:eastAsia="zh-CN"/>
            </w:rPr>
            <w:fldChar w:fldCharType="begin"/>
          </w:r>
          <w:r>
            <w:rPr>
              <w:rFonts w:hint="eastAsia" w:eastAsia="黑体"/>
              <w:bCs/>
              <w:szCs w:val="32"/>
              <w:lang w:val="en-US" w:eastAsia="zh-CN"/>
            </w:rPr>
            <w:instrText xml:space="preserve">TOC \o "1-2" \h \u </w:instrText>
          </w:r>
          <w:r>
            <w:rPr>
              <w:rFonts w:hint="eastAsia" w:eastAsia="黑体"/>
              <w:bCs/>
              <w:szCs w:val="32"/>
              <w:lang w:val="en-US" w:eastAsia="zh-CN"/>
            </w:rPr>
            <w:fldChar w:fldCharType="separate"/>
          </w:r>
          <w:r>
            <w:rPr>
              <w:rFonts w:hint="eastAsia" w:eastAsia="黑体"/>
              <w:bCs/>
              <w:szCs w:val="32"/>
              <w:lang w:val="en-US" w:eastAsia="zh-CN"/>
            </w:rPr>
            <w:fldChar w:fldCharType="begin"/>
          </w:r>
          <w:r>
            <w:rPr>
              <w:rFonts w:hint="eastAsia" w:eastAsia="黑体"/>
              <w:bCs/>
              <w:szCs w:val="32"/>
              <w:lang w:val="en-US" w:eastAsia="zh-CN"/>
            </w:rPr>
            <w:instrText xml:space="preserve"> HYPERLINK \l _Toc24924 </w:instrText>
          </w:r>
          <w:r>
            <w:rPr>
              <w:rFonts w:hint="eastAsia" w:eastAsia="黑体"/>
              <w:bCs/>
              <w:szCs w:val="32"/>
              <w:lang w:val="en-US" w:eastAsia="zh-CN"/>
            </w:rPr>
            <w:fldChar w:fldCharType="separate"/>
          </w:r>
          <w:r>
            <w:rPr>
              <w:rFonts w:hint="eastAsia" w:ascii="华文中宋" w:hAnsi="华文中宋" w:eastAsia="华文中宋" w:cs="华文中宋"/>
              <w:bCs/>
              <w:snapToGrid w:val="0"/>
              <w:szCs w:val="22"/>
              <w:lang w:val="en-US" w:eastAsia="zh-CN" w:bidi="ar-SA"/>
            </w:rPr>
            <w:t>一、专用裁量表</w:t>
          </w:r>
          <w:r>
            <w:tab/>
          </w:r>
          <w:r>
            <w:fldChar w:fldCharType="begin"/>
          </w:r>
          <w:r>
            <w:instrText xml:space="preserve"> PAGEREF _Toc24924 \h </w:instrText>
          </w:r>
          <w:r>
            <w:fldChar w:fldCharType="separate"/>
          </w:r>
          <w:r>
            <w:t>10</w:t>
          </w:r>
          <w:r>
            <w:fldChar w:fldCharType="end"/>
          </w:r>
          <w:r>
            <w:rPr>
              <w:rFonts w:hint="eastAsia" w:eastAsia="黑体"/>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_Toc7165 </w:instrText>
          </w:r>
          <w:r>
            <w:rPr>
              <w:rFonts w:hint="eastAsia" w:ascii="仿宋" w:hAnsi="仿宋" w:eastAsia="仿宋" w:cs="仿宋"/>
              <w:bCs/>
              <w:szCs w:val="32"/>
              <w:lang w:val="en-US" w:eastAsia="zh-CN"/>
            </w:rPr>
            <w:fldChar w:fldCharType="separate"/>
          </w:r>
          <w:r>
            <w:rPr>
              <w:rFonts w:hint="eastAsia" w:ascii="仿宋" w:hAnsi="仿宋" w:eastAsia="仿宋" w:cs="仿宋"/>
              <w:bCs w:val="0"/>
              <w:szCs w:val="32"/>
            </w:rPr>
            <w:t>（一）违反环境影响评价制度的行为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_Toc7165 \h </w:instrText>
          </w:r>
          <w:r>
            <w:rPr>
              <w:rFonts w:hint="eastAsia" w:ascii="仿宋" w:hAnsi="仿宋" w:eastAsia="仿宋" w:cs="仿宋"/>
            </w:rPr>
            <w:fldChar w:fldCharType="separate"/>
          </w:r>
          <w:r>
            <w:rPr>
              <w:rFonts w:hint="eastAsia" w:ascii="仿宋" w:hAnsi="仿宋" w:eastAsia="仿宋" w:cs="仿宋"/>
            </w:rPr>
            <w:t>10</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_Toc27761 </w:instrText>
          </w:r>
          <w:r>
            <w:rPr>
              <w:rFonts w:hint="eastAsia" w:ascii="仿宋" w:hAnsi="仿宋" w:eastAsia="仿宋" w:cs="仿宋"/>
              <w:bCs/>
              <w:szCs w:val="32"/>
              <w:lang w:val="en-US" w:eastAsia="zh-CN"/>
            </w:rPr>
            <w:fldChar w:fldCharType="separate"/>
          </w:r>
          <w:r>
            <w:rPr>
              <w:rFonts w:hint="eastAsia" w:ascii="仿宋" w:hAnsi="仿宋" w:eastAsia="仿宋" w:cs="仿宋"/>
              <w:bCs w:val="0"/>
              <w:szCs w:val="32"/>
            </w:rPr>
            <w:t>（二）违反建设项目“三同时”制度的行为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_Toc27761 \h </w:instrText>
          </w:r>
          <w:r>
            <w:rPr>
              <w:rFonts w:hint="eastAsia" w:ascii="仿宋" w:hAnsi="仿宋" w:eastAsia="仿宋" w:cs="仿宋"/>
            </w:rPr>
            <w:fldChar w:fldCharType="separate"/>
          </w:r>
          <w:r>
            <w:rPr>
              <w:rFonts w:hint="eastAsia" w:ascii="仿宋" w:hAnsi="仿宋" w:eastAsia="仿宋" w:cs="仿宋"/>
            </w:rPr>
            <w:t>12</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_Toc7676 </w:instrText>
          </w:r>
          <w:r>
            <w:rPr>
              <w:rFonts w:hint="eastAsia" w:ascii="仿宋" w:hAnsi="仿宋" w:eastAsia="仿宋" w:cs="仿宋"/>
              <w:bCs/>
              <w:szCs w:val="32"/>
              <w:lang w:val="en-US" w:eastAsia="zh-CN"/>
            </w:rPr>
            <w:fldChar w:fldCharType="separate"/>
          </w:r>
          <w:r>
            <w:rPr>
              <w:rFonts w:hint="eastAsia" w:ascii="仿宋" w:hAnsi="仿宋" w:eastAsia="仿宋" w:cs="仿宋"/>
              <w:bCs w:val="0"/>
              <w:szCs w:val="32"/>
            </w:rPr>
            <w:t>（三）违反环境保护排污许可管理制度</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_Toc7676 \h </w:instrText>
          </w:r>
          <w:r>
            <w:rPr>
              <w:rFonts w:hint="eastAsia" w:ascii="仿宋" w:hAnsi="仿宋" w:eastAsia="仿宋" w:cs="仿宋"/>
            </w:rPr>
            <w:fldChar w:fldCharType="separate"/>
          </w:r>
          <w:r>
            <w:rPr>
              <w:rFonts w:hint="eastAsia" w:ascii="仿宋" w:hAnsi="仿宋" w:eastAsia="仿宋" w:cs="仿宋"/>
            </w:rPr>
            <w:t>16</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_Toc29909 </w:instrText>
          </w:r>
          <w:r>
            <w:rPr>
              <w:rFonts w:hint="eastAsia" w:ascii="仿宋" w:hAnsi="仿宋" w:eastAsia="仿宋" w:cs="仿宋"/>
              <w:bCs/>
              <w:szCs w:val="32"/>
              <w:lang w:val="en-US" w:eastAsia="zh-CN"/>
            </w:rPr>
            <w:fldChar w:fldCharType="separate"/>
          </w:r>
          <w:r>
            <w:rPr>
              <w:rFonts w:hint="eastAsia" w:ascii="仿宋" w:hAnsi="仿宋" w:eastAsia="仿宋" w:cs="仿宋"/>
              <w:bCs w:val="0"/>
              <w:szCs w:val="32"/>
            </w:rPr>
            <w:t>（四）违反现场检查规定的行为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_Toc29909 \h </w:instrText>
          </w:r>
          <w:r>
            <w:rPr>
              <w:rFonts w:hint="eastAsia" w:ascii="仿宋" w:hAnsi="仿宋" w:eastAsia="仿宋" w:cs="仿宋"/>
            </w:rPr>
            <w:fldChar w:fldCharType="separate"/>
          </w:r>
          <w:r>
            <w:rPr>
              <w:rFonts w:hint="eastAsia" w:ascii="仿宋" w:hAnsi="仿宋" w:eastAsia="仿宋" w:cs="仿宋"/>
            </w:rPr>
            <w:t>24</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_Toc29004 </w:instrText>
          </w:r>
          <w:r>
            <w:rPr>
              <w:rFonts w:hint="eastAsia" w:ascii="仿宋" w:hAnsi="仿宋" w:eastAsia="仿宋" w:cs="仿宋"/>
              <w:bCs/>
              <w:szCs w:val="32"/>
              <w:lang w:val="en-US" w:eastAsia="zh-CN"/>
            </w:rPr>
            <w:fldChar w:fldCharType="separate"/>
          </w:r>
          <w:r>
            <w:rPr>
              <w:rFonts w:hint="eastAsia" w:ascii="仿宋" w:hAnsi="仿宋" w:eastAsia="仿宋" w:cs="仿宋"/>
              <w:bCs w:val="0"/>
              <w:szCs w:val="32"/>
            </w:rPr>
            <w:t>（五）通过逃避监管的方式排放污染物的行为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_Toc29004 \h </w:instrText>
          </w:r>
          <w:r>
            <w:rPr>
              <w:rFonts w:hint="eastAsia" w:ascii="仿宋" w:hAnsi="仿宋" w:eastAsia="仿宋" w:cs="仿宋"/>
            </w:rPr>
            <w:fldChar w:fldCharType="separate"/>
          </w:r>
          <w:r>
            <w:rPr>
              <w:rFonts w:hint="eastAsia" w:ascii="仿宋" w:hAnsi="仿宋" w:eastAsia="仿宋" w:cs="仿宋"/>
            </w:rPr>
            <w:t>28</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_Toc28307 </w:instrText>
          </w:r>
          <w:r>
            <w:rPr>
              <w:rFonts w:hint="eastAsia" w:ascii="仿宋" w:hAnsi="仿宋" w:eastAsia="仿宋" w:cs="仿宋"/>
              <w:bCs/>
              <w:szCs w:val="32"/>
              <w:lang w:val="en-US" w:eastAsia="zh-CN"/>
            </w:rPr>
            <w:fldChar w:fldCharType="separate"/>
          </w:r>
          <w:r>
            <w:rPr>
              <w:rFonts w:hint="eastAsia" w:ascii="仿宋" w:hAnsi="仿宋" w:eastAsia="仿宋" w:cs="仿宋"/>
              <w:bCs w:val="0"/>
              <w:szCs w:val="32"/>
            </w:rPr>
            <w:t>（七）违反水污染防治管理制度的行为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_Toc28307 \h </w:instrText>
          </w:r>
          <w:r>
            <w:rPr>
              <w:rFonts w:hint="eastAsia" w:ascii="仿宋" w:hAnsi="仿宋" w:eastAsia="仿宋" w:cs="仿宋"/>
            </w:rPr>
            <w:fldChar w:fldCharType="separate"/>
          </w:r>
          <w:r>
            <w:rPr>
              <w:rFonts w:hint="eastAsia" w:ascii="仿宋" w:hAnsi="仿宋" w:eastAsia="仿宋" w:cs="仿宋"/>
            </w:rPr>
            <w:t>37</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_Toc32171 </w:instrText>
          </w:r>
          <w:r>
            <w:rPr>
              <w:rFonts w:hint="eastAsia" w:ascii="仿宋" w:hAnsi="仿宋" w:eastAsia="仿宋" w:cs="仿宋"/>
              <w:bCs/>
              <w:szCs w:val="32"/>
              <w:lang w:val="en-US" w:eastAsia="zh-CN"/>
            </w:rPr>
            <w:fldChar w:fldCharType="separate"/>
          </w:r>
          <w:r>
            <w:rPr>
              <w:rFonts w:hint="eastAsia" w:ascii="仿宋" w:hAnsi="仿宋" w:eastAsia="仿宋" w:cs="仿宋"/>
              <w:szCs w:val="32"/>
            </w:rPr>
            <w:t>（</w:t>
          </w:r>
          <w:r>
            <w:rPr>
              <w:rFonts w:hint="eastAsia" w:ascii="仿宋" w:hAnsi="仿宋" w:eastAsia="仿宋" w:cs="仿宋"/>
              <w:szCs w:val="32"/>
              <w:lang w:val="en-US" w:eastAsia="zh-CN"/>
            </w:rPr>
            <w:t>八</w:t>
          </w:r>
          <w:r>
            <w:rPr>
              <w:rFonts w:hint="eastAsia" w:ascii="仿宋" w:hAnsi="仿宋" w:eastAsia="仿宋" w:cs="仿宋"/>
              <w:szCs w:val="32"/>
            </w:rPr>
            <w:t>）违反固体废物管理制度的行为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_Toc32171 \h </w:instrText>
          </w:r>
          <w:r>
            <w:rPr>
              <w:rFonts w:hint="eastAsia" w:ascii="仿宋" w:hAnsi="仿宋" w:eastAsia="仿宋" w:cs="仿宋"/>
            </w:rPr>
            <w:fldChar w:fldCharType="separate"/>
          </w:r>
          <w:r>
            <w:rPr>
              <w:rFonts w:hint="eastAsia" w:ascii="仿宋" w:hAnsi="仿宋" w:eastAsia="仿宋" w:cs="仿宋"/>
            </w:rPr>
            <w:t>41</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_Toc24264 </w:instrText>
          </w:r>
          <w:r>
            <w:rPr>
              <w:rFonts w:hint="eastAsia" w:ascii="仿宋" w:hAnsi="仿宋" w:eastAsia="仿宋" w:cs="仿宋"/>
              <w:bCs/>
              <w:szCs w:val="32"/>
              <w:lang w:val="en-US" w:eastAsia="zh-CN"/>
            </w:rPr>
            <w:fldChar w:fldCharType="separate"/>
          </w:r>
          <w:r>
            <w:rPr>
              <w:rFonts w:hint="eastAsia" w:ascii="仿宋" w:hAnsi="仿宋" w:eastAsia="仿宋" w:cs="仿宋"/>
              <w:szCs w:val="32"/>
            </w:rPr>
            <w:t>（</w:t>
          </w:r>
          <w:r>
            <w:rPr>
              <w:rFonts w:hint="eastAsia" w:ascii="仿宋" w:hAnsi="仿宋" w:eastAsia="仿宋" w:cs="仿宋"/>
              <w:szCs w:val="32"/>
              <w:lang w:val="en-US" w:eastAsia="zh-CN"/>
            </w:rPr>
            <w:t>九</w:t>
          </w:r>
          <w:r>
            <w:rPr>
              <w:rFonts w:hint="eastAsia" w:ascii="仿宋" w:hAnsi="仿宋" w:eastAsia="仿宋" w:cs="仿宋"/>
              <w:szCs w:val="32"/>
            </w:rPr>
            <w:t>）违反土壤污染防治管理制度的行为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_Toc24264 \h </w:instrText>
          </w:r>
          <w:r>
            <w:rPr>
              <w:rFonts w:hint="eastAsia" w:ascii="仿宋" w:hAnsi="仿宋" w:eastAsia="仿宋" w:cs="仿宋"/>
            </w:rPr>
            <w:fldChar w:fldCharType="separate"/>
          </w:r>
          <w:r>
            <w:rPr>
              <w:rFonts w:hint="eastAsia" w:ascii="仿宋" w:hAnsi="仿宋" w:eastAsia="仿宋" w:cs="仿宋"/>
            </w:rPr>
            <w:t>45</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_Toc26295 </w:instrText>
          </w:r>
          <w:r>
            <w:rPr>
              <w:rFonts w:hint="eastAsia" w:ascii="仿宋" w:hAnsi="仿宋" w:eastAsia="仿宋" w:cs="仿宋"/>
              <w:bCs/>
              <w:szCs w:val="32"/>
              <w:lang w:val="en-US" w:eastAsia="zh-CN"/>
            </w:rPr>
            <w:fldChar w:fldCharType="separate"/>
          </w:r>
          <w:r>
            <w:rPr>
              <w:rFonts w:hint="eastAsia" w:ascii="仿宋" w:hAnsi="仿宋" w:eastAsia="仿宋" w:cs="仿宋"/>
              <w:szCs w:val="32"/>
            </w:rPr>
            <w:t>（十）违反辐射安全管理制度的行为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_Toc26295 \h </w:instrText>
          </w:r>
          <w:r>
            <w:rPr>
              <w:rFonts w:hint="eastAsia" w:ascii="仿宋" w:hAnsi="仿宋" w:eastAsia="仿宋" w:cs="仿宋"/>
            </w:rPr>
            <w:fldChar w:fldCharType="separate"/>
          </w:r>
          <w:r>
            <w:rPr>
              <w:rFonts w:hint="eastAsia" w:ascii="仿宋" w:hAnsi="仿宋" w:eastAsia="仿宋" w:cs="仿宋"/>
            </w:rPr>
            <w:t>49</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rPr>
              <w:rFonts w:hint="eastAsia" w:ascii="仿宋" w:hAnsi="仿宋" w:eastAsia="仿宋" w:cs="仿宋"/>
            </w:rPr>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_Toc2500 </w:instrText>
          </w:r>
          <w:r>
            <w:rPr>
              <w:rFonts w:hint="eastAsia" w:ascii="仿宋" w:hAnsi="仿宋" w:eastAsia="仿宋" w:cs="仿宋"/>
              <w:bCs/>
              <w:szCs w:val="32"/>
              <w:lang w:val="en-US" w:eastAsia="zh-CN"/>
            </w:rPr>
            <w:fldChar w:fldCharType="separate"/>
          </w:r>
          <w:r>
            <w:rPr>
              <w:rFonts w:hint="eastAsia" w:ascii="仿宋" w:hAnsi="仿宋" w:eastAsia="仿宋" w:cs="仿宋"/>
              <w:szCs w:val="32"/>
              <w:lang w:bidi="ar"/>
            </w:rPr>
            <w:t>（十</w:t>
          </w:r>
          <w:r>
            <w:rPr>
              <w:rFonts w:hint="eastAsia" w:ascii="仿宋" w:hAnsi="仿宋" w:eastAsia="仿宋" w:cs="仿宋"/>
              <w:szCs w:val="32"/>
              <w:lang w:val="en-US" w:eastAsia="zh-CN" w:bidi="ar"/>
            </w:rPr>
            <w:t>一</w:t>
          </w:r>
          <w:r>
            <w:rPr>
              <w:rFonts w:hint="eastAsia" w:ascii="仿宋" w:hAnsi="仿宋" w:eastAsia="仿宋" w:cs="仿宋"/>
              <w:szCs w:val="32"/>
              <w:lang w:bidi="ar"/>
            </w:rPr>
            <w:t>） 违反环境监测管理制度的行为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_Toc2500 \h </w:instrText>
          </w:r>
          <w:r>
            <w:rPr>
              <w:rFonts w:hint="eastAsia" w:ascii="仿宋" w:hAnsi="仿宋" w:eastAsia="仿宋" w:cs="仿宋"/>
            </w:rPr>
            <w:fldChar w:fldCharType="separate"/>
          </w:r>
          <w:r>
            <w:rPr>
              <w:rFonts w:hint="eastAsia" w:ascii="仿宋" w:hAnsi="仿宋" w:eastAsia="仿宋" w:cs="仿宋"/>
            </w:rPr>
            <w:t>51</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7"/>
            <w:tabs>
              <w:tab w:val="right" w:leader="dot" w:pos="8306"/>
            </w:tabs>
          </w:pPr>
          <w:r>
            <w:rPr>
              <w:rFonts w:hint="eastAsia" w:ascii="仿宋" w:hAnsi="仿宋" w:eastAsia="仿宋" w:cs="仿宋"/>
              <w:bCs/>
              <w:szCs w:val="32"/>
              <w:lang w:val="en-US" w:eastAsia="zh-CN"/>
            </w:rPr>
            <w:fldChar w:fldCharType="begin"/>
          </w:r>
          <w:r>
            <w:rPr>
              <w:rFonts w:hint="eastAsia" w:ascii="仿宋" w:hAnsi="仿宋" w:eastAsia="仿宋" w:cs="仿宋"/>
              <w:bCs/>
              <w:szCs w:val="32"/>
              <w:lang w:val="en-US" w:eastAsia="zh-CN"/>
            </w:rPr>
            <w:instrText xml:space="preserve"> HYPERLINK \l _Toc31233 </w:instrText>
          </w:r>
          <w:r>
            <w:rPr>
              <w:rFonts w:hint="eastAsia" w:ascii="仿宋" w:hAnsi="仿宋" w:eastAsia="仿宋" w:cs="仿宋"/>
              <w:bCs/>
              <w:szCs w:val="32"/>
              <w:lang w:val="en-US" w:eastAsia="zh-CN"/>
            </w:rPr>
            <w:fldChar w:fldCharType="separate"/>
          </w:r>
          <w:r>
            <w:rPr>
              <w:rFonts w:hint="eastAsia" w:ascii="仿宋" w:hAnsi="仿宋" w:eastAsia="仿宋" w:cs="仿宋"/>
              <w:szCs w:val="32"/>
            </w:rPr>
            <w:t>（十</w:t>
          </w:r>
          <w:r>
            <w:rPr>
              <w:rFonts w:hint="eastAsia" w:ascii="仿宋" w:hAnsi="仿宋" w:eastAsia="仿宋" w:cs="仿宋"/>
              <w:szCs w:val="32"/>
              <w:lang w:val="en-US" w:eastAsia="zh-CN"/>
            </w:rPr>
            <w:t>二</w:t>
          </w:r>
          <w:r>
            <w:rPr>
              <w:rFonts w:hint="eastAsia" w:ascii="仿宋" w:hAnsi="仿宋" w:eastAsia="仿宋" w:cs="仿宋"/>
              <w:szCs w:val="32"/>
            </w:rPr>
            <w:t>）第三方机构及违法责任人员的违法行为</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_Toc31233 \h </w:instrText>
          </w:r>
          <w:r>
            <w:rPr>
              <w:rFonts w:hint="eastAsia" w:ascii="仿宋" w:hAnsi="仿宋" w:eastAsia="仿宋" w:cs="仿宋"/>
            </w:rPr>
            <w:fldChar w:fldCharType="separate"/>
          </w:r>
          <w:r>
            <w:rPr>
              <w:rFonts w:hint="eastAsia" w:ascii="仿宋" w:hAnsi="仿宋" w:eastAsia="仿宋" w:cs="仿宋"/>
            </w:rPr>
            <w:t>53</w:t>
          </w:r>
          <w:r>
            <w:rPr>
              <w:rFonts w:hint="eastAsia" w:ascii="仿宋" w:hAnsi="仿宋" w:eastAsia="仿宋" w:cs="仿宋"/>
            </w:rPr>
            <w:fldChar w:fldCharType="end"/>
          </w:r>
          <w:r>
            <w:rPr>
              <w:rFonts w:hint="eastAsia" w:ascii="仿宋" w:hAnsi="仿宋" w:eastAsia="仿宋" w:cs="仿宋"/>
              <w:bCs/>
              <w:szCs w:val="32"/>
              <w:lang w:val="en-US" w:eastAsia="zh-CN"/>
            </w:rPr>
            <w:fldChar w:fldCharType="end"/>
          </w:r>
        </w:p>
        <w:p>
          <w:pPr>
            <w:pStyle w:val="6"/>
            <w:tabs>
              <w:tab w:val="right" w:leader="dot" w:pos="8306"/>
            </w:tabs>
          </w:pPr>
          <w:r>
            <w:rPr>
              <w:rFonts w:hint="eastAsia" w:eastAsia="黑体"/>
              <w:bCs/>
              <w:szCs w:val="32"/>
              <w:lang w:val="en-US" w:eastAsia="zh-CN"/>
            </w:rPr>
            <w:fldChar w:fldCharType="begin"/>
          </w:r>
          <w:r>
            <w:rPr>
              <w:rFonts w:hint="eastAsia" w:eastAsia="黑体"/>
              <w:bCs/>
              <w:szCs w:val="32"/>
              <w:lang w:val="en-US" w:eastAsia="zh-CN"/>
            </w:rPr>
            <w:instrText xml:space="preserve"> HYPERLINK \l _Toc16209 </w:instrText>
          </w:r>
          <w:r>
            <w:rPr>
              <w:rFonts w:hint="eastAsia" w:eastAsia="黑体"/>
              <w:bCs/>
              <w:szCs w:val="32"/>
              <w:lang w:val="en-US" w:eastAsia="zh-CN"/>
            </w:rPr>
            <w:fldChar w:fldCharType="separate"/>
          </w:r>
          <w:r>
            <w:rPr>
              <w:rFonts w:hint="eastAsia" w:ascii="华文中宋" w:hAnsi="华文中宋" w:eastAsia="华文中宋" w:cs="华文中宋"/>
              <w:bCs/>
              <w:snapToGrid w:val="0"/>
              <w:szCs w:val="22"/>
              <w:lang w:val="en-US" w:eastAsia="zh-CN" w:bidi="ar-SA"/>
            </w:rPr>
            <w:t>二、通用裁量表</w:t>
          </w:r>
          <w:r>
            <w:tab/>
          </w:r>
          <w:r>
            <w:fldChar w:fldCharType="begin"/>
          </w:r>
          <w:r>
            <w:instrText xml:space="preserve"> PAGEREF _Toc16209 \h </w:instrText>
          </w:r>
          <w:r>
            <w:fldChar w:fldCharType="separate"/>
          </w:r>
          <w:r>
            <w:t>56</w:t>
          </w:r>
          <w:r>
            <w:fldChar w:fldCharType="end"/>
          </w:r>
          <w:r>
            <w:rPr>
              <w:rFonts w:hint="eastAsia" w:eastAsia="黑体"/>
              <w:bCs/>
              <w:szCs w:val="32"/>
              <w:lang w:val="en-US" w:eastAsia="zh-CN"/>
            </w:rPr>
            <w:fldChar w:fldCharType="end"/>
          </w:r>
        </w:p>
        <w:p>
          <w:pPr>
            <w:pStyle w:val="2"/>
            <w:rPr>
              <w:rFonts w:hint="eastAsia" w:eastAsia="黑体"/>
              <w:bCs/>
              <w:szCs w:val="32"/>
              <w:lang w:val="en-US" w:eastAsia="zh-CN"/>
            </w:rPr>
          </w:pPr>
          <w:r>
            <w:rPr>
              <w:rFonts w:hint="eastAsia" w:eastAsia="黑体"/>
              <w:bCs/>
              <w:szCs w:val="32"/>
              <w:lang w:val="en-US" w:eastAsia="zh-CN"/>
            </w:rPr>
            <w:fldChar w:fldCharType="end"/>
          </w:r>
        </w:p>
      </w:sdtContent>
    </w:sdt>
    <w:p>
      <w:pPr>
        <w:ind w:firstLine="880" w:firstLineChars="200"/>
        <w:jc w:val="left"/>
        <w:outlineLvl w:val="0"/>
        <w:rPr>
          <w:rFonts w:hint="eastAsia" w:ascii="华文中宋" w:hAnsi="华文中宋" w:eastAsia="华文中宋" w:cs="华文中宋"/>
          <w:b/>
          <w:bCs/>
          <w:snapToGrid w:val="0"/>
          <w:sz w:val="44"/>
          <w:szCs w:val="22"/>
          <w:lang w:val="en-US" w:eastAsia="zh-CN" w:bidi="ar-SA"/>
        </w:rPr>
      </w:pPr>
    </w:p>
    <w:p>
      <w:pPr>
        <w:ind w:firstLine="880" w:firstLineChars="200"/>
        <w:jc w:val="left"/>
        <w:outlineLvl w:val="0"/>
        <w:rPr>
          <w:rFonts w:hint="eastAsia" w:ascii="华文中宋" w:hAnsi="华文中宋" w:eastAsia="华文中宋" w:cs="华文中宋"/>
          <w:b/>
          <w:bCs/>
          <w:snapToGrid w:val="0"/>
          <w:sz w:val="44"/>
          <w:szCs w:val="22"/>
          <w:lang w:val="en-US" w:eastAsia="zh-CN" w:bidi="ar-SA"/>
        </w:rPr>
      </w:pPr>
    </w:p>
    <w:p>
      <w:pPr>
        <w:ind w:firstLine="880" w:firstLineChars="200"/>
        <w:jc w:val="left"/>
        <w:outlineLvl w:val="0"/>
        <w:rPr>
          <w:rFonts w:hint="eastAsia" w:ascii="华文中宋" w:hAnsi="华文中宋" w:eastAsia="华文中宋" w:cs="华文中宋"/>
          <w:b/>
          <w:bCs/>
          <w:snapToGrid w:val="0"/>
          <w:sz w:val="44"/>
          <w:szCs w:val="22"/>
          <w:lang w:val="en-US" w:eastAsia="zh-CN" w:bidi="ar-SA"/>
        </w:rPr>
      </w:pPr>
      <w:bookmarkStart w:id="0" w:name="_Toc24924"/>
      <w:r>
        <w:rPr>
          <w:rFonts w:hint="eastAsia" w:ascii="华文中宋" w:hAnsi="华文中宋" w:eastAsia="华文中宋" w:cs="华文中宋"/>
          <w:b/>
          <w:bCs/>
          <w:snapToGrid w:val="0"/>
          <w:sz w:val="44"/>
          <w:szCs w:val="22"/>
          <w:lang w:val="en-US" w:eastAsia="zh-CN" w:bidi="ar-SA"/>
        </w:rPr>
        <w:t>一、专用裁量表</w:t>
      </w:r>
      <w:bookmarkEnd w:id="0"/>
    </w:p>
    <w:p>
      <w:pPr>
        <w:ind w:firstLine="642" w:firstLineChars="200"/>
        <w:outlineLvl w:val="1"/>
        <w:rPr>
          <w:rFonts w:eastAsia="方正楷体_GBK"/>
          <w:b/>
          <w:bCs w:val="0"/>
          <w:szCs w:val="32"/>
        </w:rPr>
      </w:pPr>
      <w:bookmarkStart w:id="1" w:name="_Toc7165"/>
      <w:r>
        <w:rPr>
          <w:rFonts w:eastAsia="方正楷体_GBK"/>
          <w:b/>
          <w:bCs w:val="0"/>
          <w:szCs w:val="32"/>
        </w:rPr>
        <w:t>（一）违反环境影响评价制度的行为</w:t>
      </w:r>
      <w:bookmarkEnd w:id="1"/>
    </w:p>
    <w:p>
      <w:pPr>
        <w:pStyle w:val="12"/>
        <w:jc w:val="center"/>
        <w:rPr>
          <w:rFonts w:hint="eastAsia" w:ascii="华文仿宋" w:hAnsi="华文仿宋" w:eastAsia="华文仿宋" w:cs="华文仿宋"/>
          <w:sz w:val="28"/>
          <w:szCs w:val="28"/>
        </w:rPr>
      </w:pPr>
      <w:r>
        <w:rPr>
          <w:rFonts w:hint="eastAsia" w:ascii="华文仿宋" w:hAnsi="华文仿宋" w:eastAsia="华文仿宋" w:cs="华文仿宋"/>
          <w:sz w:val="28"/>
          <w:szCs w:val="18"/>
        </w:rPr>
        <w:t>表1 未批先建的裁量标准</w:t>
      </w:r>
    </w:p>
    <w:tbl>
      <w:tblPr>
        <w:tblStyle w:val="9"/>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4"/>
        <w:gridCol w:w="1820"/>
        <w:gridCol w:w="4891"/>
        <w:gridCol w:w="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44" w:type="dxa"/>
            <w:tcMar>
              <w:top w:w="15" w:type="dxa"/>
              <w:left w:w="15" w:type="dxa"/>
              <w:right w:w="15" w:type="dxa"/>
            </w:tcMar>
            <w:vAlign w:val="center"/>
          </w:tcPr>
          <w:p>
            <w:pPr>
              <w:spacing w:line="240" w:lineRule="auto"/>
              <w:ind w:firstLine="0"/>
              <w:jc w:val="center"/>
              <w:rPr>
                <w:rFonts w:ascii="宋体" w:hAnsi="宋体" w:eastAsia="宋体"/>
                <w:b/>
                <w:color w:val="000000"/>
                <w:sz w:val="21"/>
                <w:szCs w:val="21"/>
                <w:lang w:bidi="ar"/>
              </w:rPr>
            </w:pPr>
            <w:r>
              <w:rPr>
                <w:rFonts w:ascii="宋体" w:hAnsi="宋体" w:eastAsia="宋体"/>
                <w:b/>
                <w:color w:val="000000"/>
                <w:sz w:val="21"/>
                <w:szCs w:val="21"/>
                <w:lang w:bidi="ar"/>
              </w:rPr>
              <w:t>序号</w:t>
            </w:r>
          </w:p>
        </w:tc>
        <w:tc>
          <w:tcPr>
            <w:tcW w:w="1820" w:type="dxa"/>
            <w:tcMar>
              <w:top w:w="15" w:type="dxa"/>
              <w:left w:w="15" w:type="dxa"/>
              <w:right w:w="15" w:type="dxa"/>
            </w:tcMar>
            <w:vAlign w:val="center"/>
          </w:tcPr>
          <w:p>
            <w:pPr>
              <w:spacing w:line="240" w:lineRule="auto"/>
              <w:ind w:firstLine="0"/>
              <w:jc w:val="center"/>
              <w:rPr>
                <w:rFonts w:ascii="宋体" w:hAnsi="宋体" w:eastAsia="宋体"/>
                <w:b/>
                <w:color w:val="000000"/>
                <w:sz w:val="21"/>
                <w:szCs w:val="21"/>
                <w:lang w:bidi="ar"/>
              </w:rPr>
            </w:pPr>
            <w:r>
              <w:rPr>
                <w:rFonts w:ascii="宋体" w:hAnsi="宋体" w:eastAsia="宋体"/>
                <w:b/>
                <w:color w:val="000000"/>
                <w:sz w:val="21"/>
                <w:szCs w:val="21"/>
                <w:lang w:bidi="ar"/>
              </w:rPr>
              <w:t>裁量因素</w:t>
            </w:r>
          </w:p>
        </w:tc>
        <w:tc>
          <w:tcPr>
            <w:tcW w:w="4891" w:type="dxa"/>
            <w:tcMar>
              <w:top w:w="15" w:type="dxa"/>
              <w:left w:w="15" w:type="dxa"/>
              <w:right w:w="15" w:type="dxa"/>
            </w:tcMar>
            <w:vAlign w:val="center"/>
          </w:tcPr>
          <w:p>
            <w:pPr>
              <w:spacing w:line="240" w:lineRule="auto"/>
              <w:ind w:firstLine="0"/>
              <w:jc w:val="center"/>
              <w:rPr>
                <w:rFonts w:ascii="宋体" w:hAnsi="宋体" w:eastAsia="宋体"/>
                <w:b/>
                <w:color w:val="000000"/>
                <w:sz w:val="21"/>
                <w:szCs w:val="21"/>
                <w:lang w:bidi="ar"/>
              </w:rPr>
            </w:pPr>
            <w:r>
              <w:rPr>
                <w:rFonts w:ascii="宋体" w:hAnsi="宋体" w:eastAsia="宋体"/>
                <w:b/>
                <w:color w:val="000000"/>
                <w:sz w:val="21"/>
                <w:szCs w:val="21"/>
                <w:lang w:bidi="ar"/>
              </w:rPr>
              <w:t>裁量因子</w:t>
            </w:r>
          </w:p>
        </w:tc>
        <w:tc>
          <w:tcPr>
            <w:tcW w:w="1483" w:type="dxa"/>
            <w:tcMar>
              <w:top w:w="15" w:type="dxa"/>
              <w:left w:w="15" w:type="dxa"/>
              <w:right w:w="15" w:type="dxa"/>
            </w:tcMar>
            <w:vAlign w:val="center"/>
          </w:tcPr>
          <w:p>
            <w:pPr>
              <w:spacing w:line="240" w:lineRule="auto"/>
              <w:ind w:firstLine="0"/>
              <w:jc w:val="center"/>
              <w:rPr>
                <w:rFonts w:ascii="宋体" w:hAnsi="宋体" w:eastAsia="宋体"/>
                <w:b/>
                <w:bCs/>
                <w:color w:val="000000"/>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7555" w:type="dxa"/>
            <w:gridSpan w:val="3"/>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裁量起点</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1</w:t>
            </w:r>
          </w:p>
        </w:tc>
        <w:tc>
          <w:tcPr>
            <w:tcW w:w="1820"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项目应报批的环评文件类别</w:t>
            </w: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报告表</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报告书且未实施排污许可证重点管理</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报告书且实施排污许可证重点管理</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2</w:t>
            </w:r>
          </w:p>
        </w:tc>
        <w:tc>
          <w:tcPr>
            <w:tcW w:w="1820"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建设项目地点</w:t>
            </w:r>
          </w:p>
        </w:tc>
        <w:tc>
          <w:tcPr>
            <w:tcW w:w="4891" w:type="dxa"/>
            <w:tcMar>
              <w:top w:w="15" w:type="dxa"/>
              <w:left w:w="15" w:type="dxa"/>
              <w:right w:w="15" w:type="dxa"/>
            </w:tcMar>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在生态保护红线区域外</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hint="eastAsia" w:ascii="宋体" w:hAnsi="宋体" w:eastAsia="宋体"/>
                <w:color w:val="000000"/>
                <w:sz w:val="21"/>
                <w:szCs w:val="21"/>
              </w:rPr>
              <w:t>6</w:t>
            </w:r>
            <w:r>
              <w:rPr>
                <w:rFonts w:ascii="宋体" w:hAnsi="宋体" w:eastAsia="宋体"/>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1</w:t>
            </w:r>
            <w:r>
              <w:rPr>
                <w:rFonts w:hint="eastAsia" w:ascii="宋体" w:hAnsi="宋体" w:eastAsia="宋体"/>
                <w:color w:val="000000"/>
                <w:sz w:val="21"/>
                <w:szCs w:val="21"/>
              </w:rPr>
              <w:t>5</w:t>
            </w:r>
            <w:r>
              <w:rPr>
                <w:rFonts w:ascii="宋体" w:hAnsi="宋体" w:eastAsia="宋体"/>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3</w:t>
            </w:r>
          </w:p>
        </w:tc>
        <w:tc>
          <w:tcPr>
            <w:tcW w:w="1820"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项目建设进程</w:t>
            </w: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基础建设阶段</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设备安装阶段</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投入生产/使用阶段</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lang w:bidi="ar"/>
              </w:rPr>
              <w:t>1</w:t>
            </w:r>
            <w:r>
              <w:rPr>
                <w:rFonts w:hint="eastAsia" w:ascii="宋体" w:hAnsi="宋体" w:eastAsia="宋体"/>
                <w:color w:val="000000"/>
                <w:sz w:val="21"/>
                <w:szCs w:val="21"/>
                <w:lang w:bidi="ar"/>
              </w:rPr>
              <w:t>5</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4</w:t>
            </w:r>
          </w:p>
        </w:tc>
        <w:tc>
          <w:tcPr>
            <w:tcW w:w="1820"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违法行为持续时间</w:t>
            </w: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lang w:bidi="ar"/>
              </w:rPr>
              <w:t>不足3个月</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lang w:bidi="ar"/>
              </w:rPr>
              <w:t>3个月以上不足6个月</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p>
        </w:tc>
        <w:tc>
          <w:tcPr>
            <w:tcW w:w="4891" w:type="dxa"/>
            <w:tcMar>
              <w:top w:w="15" w:type="dxa"/>
              <w:left w:w="15" w:type="dxa"/>
              <w:right w:w="15" w:type="dxa"/>
            </w:tcMar>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6个月以上不足12个月</w:t>
            </w:r>
          </w:p>
        </w:tc>
        <w:tc>
          <w:tcPr>
            <w:tcW w:w="1483" w:type="dxa"/>
            <w:tcMar>
              <w:top w:w="15" w:type="dxa"/>
              <w:left w:w="15" w:type="dxa"/>
              <w:right w:w="15" w:type="dxa"/>
            </w:tcMar>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lang w:bidi="ar"/>
              </w:rPr>
              <w:t>12个月以上</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5</w:t>
            </w:r>
          </w:p>
        </w:tc>
        <w:tc>
          <w:tcPr>
            <w:tcW w:w="1820"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环境违法次数</w:t>
            </w:r>
          </w:p>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（两年内，含本次）</w:t>
            </w: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1次</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2次</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4891" w:type="dxa"/>
            <w:tcMar>
              <w:top w:w="15" w:type="dxa"/>
              <w:left w:w="15" w:type="dxa"/>
              <w:right w:w="15" w:type="dxa"/>
            </w:tcMar>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r>
              <w:rPr>
                <w:rFonts w:ascii="宋体" w:hAnsi="宋体" w:eastAsia="宋体"/>
                <w:color w:val="000000"/>
                <w:sz w:val="21"/>
                <w:szCs w:val="21"/>
              </w:rPr>
              <w:t>6</w:t>
            </w:r>
          </w:p>
        </w:tc>
        <w:tc>
          <w:tcPr>
            <w:tcW w:w="1820" w:type="dxa"/>
            <w:vMerge w:val="restart"/>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color w:val="000000"/>
                <w:sz w:val="21"/>
                <w:szCs w:val="21"/>
                <w:lang w:bidi="ar"/>
              </w:rPr>
            </w:pPr>
            <w:r>
              <w:rPr>
                <w:rFonts w:ascii="宋体" w:hAnsi="宋体" w:eastAsia="宋体"/>
                <w:color w:val="000000"/>
                <w:sz w:val="21"/>
                <w:szCs w:val="21"/>
                <w:lang w:bidi="ar"/>
              </w:rPr>
              <w:t>（一年内）</w:t>
            </w:r>
          </w:p>
        </w:tc>
        <w:tc>
          <w:tcPr>
            <w:tcW w:w="4891" w:type="dxa"/>
            <w:tcMar>
              <w:top w:w="15" w:type="dxa"/>
              <w:left w:w="15" w:type="dxa"/>
              <w:right w:w="15" w:type="dxa"/>
            </w:tcMar>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844" w:type="dxa"/>
            <w:vMerge w:val="continue"/>
            <w:tcMar>
              <w:top w:w="15" w:type="dxa"/>
              <w:left w:w="15" w:type="dxa"/>
              <w:right w:w="15" w:type="dxa"/>
            </w:tcMar>
            <w:vAlign w:val="center"/>
          </w:tcPr>
          <w:p>
            <w:pPr>
              <w:spacing w:line="240" w:lineRule="auto"/>
              <w:ind w:firstLine="0"/>
              <w:jc w:val="center"/>
              <w:rPr>
                <w:rFonts w:ascii="宋体" w:hAnsi="宋体" w:eastAsia="宋体"/>
                <w:color w:val="000000"/>
                <w:sz w:val="21"/>
                <w:szCs w:val="21"/>
              </w:rPr>
            </w:pPr>
          </w:p>
        </w:tc>
        <w:tc>
          <w:tcPr>
            <w:tcW w:w="1820" w:type="dxa"/>
            <w:vMerge w:val="continue"/>
            <w:tcMar>
              <w:top w:w="15" w:type="dxa"/>
              <w:left w:w="15" w:type="dxa"/>
              <w:right w:w="15" w:type="dxa"/>
            </w:tcMar>
            <w:vAlign w:val="center"/>
          </w:tcPr>
          <w:p>
            <w:pPr>
              <w:spacing w:line="240" w:lineRule="auto"/>
              <w:ind w:firstLine="0" w:firstLineChars="0"/>
              <w:jc w:val="center"/>
              <w:rPr>
                <w:rFonts w:ascii="宋体" w:hAnsi="宋体" w:eastAsia="宋体"/>
                <w:color w:val="000000"/>
                <w:sz w:val="21"/>
                <w:szCs w:val="21"/>
                <w:lang w:bidi="ar"/>
              </w:rPr>
            </w:pPr>
          </w:p>
        </w:tc>
        <w:tc>
          <w:tcPr>
            <w:tcW w:w="4891" w:type="dxa"/>
            <w:tcMar>
              <w:top w:w="15" w:type="dxa"/>
              <w:left w:w="15" w:type="dxa"/>
              <w:right w:w="15" w:type="dxa"/>
            </w:tcMar>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483" w:type="dxa"/>
            <w:tcMar>
              <w:top w:w="15" w:type="dxa"/>
              <w:left w:w="15" w:type="dxa"/>
              <w:right w:w="15" w:type="dxa"/>
            </w:tcMar>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bl>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注：1、本表适用于《中华人民共和国环境影响评价法》第三十一条第一款规定的“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lang w:bidi="ar"/>
        </w:rPr>
        <w:t>2、</w:t>
      </w:r>
      <w:r>
        <w:rPr>
          <w:rFonts w:ascii="宋体" w:hAnsi="宋体" w:eastAsia="宋体"/>
          <w:sz w:val="21"/>
          <w:szCs w:val="21"/>
          <w:lang w:bidi="ar"/>
        </w:rPr>
        <w:t>本表裁量的计算方法为：罚款金额＝裁量百分值总和×建设项目总投资额×5%。</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rPr>
        <w:t>3、</w:t>
      </w:r>
      <w:r>
        <w:rPr>
          <w:rFonts w:ascii="宋体" w:hAnsi="宋体" w:eastAsia="宋体"/>
          <w:sz w:val="21"/>
          <w:szCs w:val="21"/>
        </w:rPr>
        <w:t>违法行为持续时间是指开工建设至发现违法行为之日（不含本日）的时间，不扣除中间停止建设的时间。</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lang w:bidi="ar"/>
        </w:rPr>
        <w:t>4、</w:t>
      </w:r>
      <w:r>
        <w:rPr>
          <w:rFonts w:ascii="宋体" w:hAnsi="宋体" w:eastAsia="宋体"/>
          <w:sz w:val="21"/>
          <w:szCs w:val="21"/>
          <w:lang w:bidi="ar"/>
        </w:rPr>
        <w:t>自然保护地未纳入生态保护红线区域的，按照自然保护地一般控制区进行裁量。</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lang w:bidi="ar"/>
        </w:rPr>
        <w:t>5、</w:t>
      </w:r>
      <w:r>
        <w:rPr>
          <w:rFonts w:ascii="宋体" w:hAnsi="宋体" w:eastAsia="宋体"/>
          <w:sz w:val="21"/>
          <w:szCs w:val="21"/>
          <w:lang w:bidi="ar"/>
        </w:rPr>
        <w:t>本表所称的“以上”包括本数，“不足”不包括本数。</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lang w:bidi="ar"/>
        </w:rPr>
        <w:t>6、</w:t>
      </w:r>
      <w:r>
        <w:rPr>
          <w:rFonts w:ascii="宋体" w:hAnsi="宋体" w:eastAsia="宋体"/>
          <w:sz w:val="21"/>
          <w:szCs w:val="21"/>
          <w:lang w:bidi="ar"/>
        </w:rPr>
        <w:t>环境违法次数（两年内、含本次）指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自发现本次违法行为之日（不包含本日）起向前追溯两年发生的所有环境违法行为次数。对同一</w:t>
      </w:r>
      <w:r>
        <w:rPr>
          <w:rFonts w:hint="eastAsia" w:ascii="宋体" w:hAnsi="宋体" w:eastAsia="宋体"/>
          <w:sz w:val="21"/>
          <w:szCs w:val="21"/>
          <w:lang w:eastAsia="zh-CN" w:bidi="ar"/>
        </w:rPr>
        <w:t>当事人</w:t>
      </w:r>
      <w:r>
        <w:rPr>
          <w:rFonts w:ascii="宋体" w:hAnsi="宋体" w:eastAsia="宋体"/>
          <w:sz w:val="21"/>
          <w:szCs w:val="21"/>
          <w:lang w:bidi="ar"/>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bidi="ar"/>
        </w:rPr>
        <w:t>7、</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8</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ind w:firstLine="420" w:firstLineChars="200"/>
        <w:outlineLvl w:val="1"/>
        <w:rPr>
          <w:rFonts w:eastAsia="方正楷体_GBK"/>
          <w:b/>
          <w:bCs w:val="0"/>
          <w:szCs w:val="32"/>
        </w:rPr>
      </w:pPr>
      <w:r>
        <w:rPr>
          <w:rFonts w:ascii="宋体" w:hAnsi="宋体" w:eastAsia="宋体"/>
          <w:sz w:val="21"/>
          <w:szCs w:val="21"/>
        </w:rPr>
        <w:br w:type="page"/>
      </w:r>
      <w:bookmarkStart w:id="2" w:name="_Toc27761"/>
      <w:r>
        <w:rPr>
          <w:rFonts w:eastAsia="方正楷体_GBK"/>
          <w:b/>
          <w:bCs w:val="0"/>
          <w:szCs w:val="32"/>
        </w:rPr>
        <w:t>（二）违反建设项目“三同时”制度的行为</w:t>
      </w:r>
      <w:bookmarkEnd w:id="2"/>
    </w:p>
    <w:p>
      <w:pPr>
        <w:pStyle w:val="12"/>
        <w:jc w:val="center"/>
        <w:rPr>
          <w:rFonts w:hint="eastAsia" w:ascii="华文仿宋" w:hAnsi="华文仿宋" w:eastAsia="华文仿宋" w:cs="华文仿宋"/>
          <w:sz w:val="28"/>
          <w:szCs w:val="18"/>
        </w:rPr>
      </w:pPr>
      <w:r>
        <w:rPr>
          <w:rFonts w:hint="eastAsia" w:ascii="华文仿宋" w:hAnsi="华文仿宋" w:eastAsia="华文仿宋" w:cs="华文仿宋"/>
          <w:sz w:val="28"/>
          <w:szCs w:val="18"/>
        </w:rPr>
        <w:t>表2-1 需要配套建设的环境保护设施未建成，</w:t>
      </w:r>
    </w:p>
    <w:p>
      <w:pPr>
        <w:pStyle w:val="12"/>
        <w:jc w:val="center"/>
        <w:rPr>
          <w:rFonts w:hint="eastAsia" w:ascii="华文仿宋" w:hAnsi="华文仿宋" w:eastAsia="华文仿宋" w:cs="华文仿宋"/>
          <w:sz w:val="28"/>
          <w:szCs w:val="18"/>
        </w:rPr>
      </w:pPr>
      <w:r>
        <w:rPr>
          <w:rFonts w:hint="eastAsia" w:ascii="华文仿宋" w:hAnsi="华文仿宋" w:eastAsia="华文仿宋" w:cs="华文仿宋"/>
          <w:sz w:val="28"/>
          <w:szCs w:val="18"/>
        </w:rPr>
        <w:t>投入生产使用的裁量标准</w:t>
      </w:r>
    </w:p>
    <w:tbl>
      <w:tblPr>
        <w:tblStyle w:val="9"/>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025"/>
        <w:gridCol w:w="4155"/>
        <w:gridCol w:w="990"/>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02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15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color w:val="000000"/>
                <w:sz w:val="21"/>
                <w:szCs w:val="21"/>
                <w:lang w:bidi="ar"/>
              </w:rPr>
              <w:t>裁量因子</w:t>
            </w:r>
          </w:p>
        </w:tc>
        <w:tc>
          <w:tcPr>
            <w:tcW w:w="1980"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Merge w:val="continue"/>
            <w:vAlign w:val="center"/>
          </w:tcPr>
          <w:p>
            <w:pPr>
              <w:spacing w:line="240" w:lineRule="auto"/>
              <w:ind w:firstLine="0"/>
              <w:jc w:val="center"/>
              <w:rPr>
                <w:rFonts w:ascii="宋体" w:hAnsi="宋体" w:eastAsia="宋体"/>
                <w:sz w:val="21"/>
                <w:szCs w:val="21"/>
              </w:rPr>
            </w:pPr>
          </w:p>
        </w:tc>
        <w:tc>
          <w:tcPr>
            <w:tcW w:w="99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及时</w:t>
            </w:r>
          </w:p>
          <w:p>
            <w:pPr>
              <w:spacing w:line="240" w:lineRule="auto"/>
              <w:ind w:firstLine="0"/>
              <w:jc w:val="center"/>
              <w:rPr>
                <w:rFonts w:ascii="宋体" w:hAnsi="宋体" w:eastAsia="宋体"/>
                <w:b/>
                <w:bCs/>
                <w:sz w:val="21"/>
                <w:szCs w:val="21"/>
              </w:rPr>
            </w:pPr>
            <w:r>
              <w:rPr>
                <w:rFonts w:ascii="宋体" w:hAnsi="宋体" w:eastAsia="宋体"/>
                <w:b/>
                <w:bCs/>
                <w:sz w:val="21"/>
                <w:szCs w:val="21"/>
              </w:rPr>
              <w:t>改正</w:t>
            </w:r>
          </w:p>
        </w:tc>
        <w:tc>
          <w:tcPr>
            <w:tcW w:w="99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逾期不改正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065"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20%</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02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项目应报批的环评文件类别</w:t>
            </w: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报告表</w:t>
            </w:r>
          </w:p>
        </w:tc>
        <w:tc>
          <w:tcPr>
            <w:tcW w:w="99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c>
          <w:tcPr>
            <w:tcW w:w="99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报告书且未实施排污许可证重点管理</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报告书且实施排污许可证重点管理</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02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污染防治设施</w:t>
            </w:r>
          </w:p>
          <w:p>
            <w:pPr>
              <w:spacing w:line="240" w:lineRule="auto"/>
              <w:ind w:firstLine="0"/>
              <w:jc w:val="center"/>
              <w:rPr>
                <w:rFonts w:ascii="宋体" w:hAnsi="宋体" w:eastAsia="宋体"/>
                <w:sz w:val="21"/>
                <w:szCs w:val="21"/>
              </w:rPr>
            </w:pPr>
            <w:r>
              <w:rPr>
                <w:rFonts w:ascii="宋体" w:hAnsi="宋体" w:eastAsia="宋体"/>
                <w:sz w:val="21"/>
                <w:szCs w:val="21"/>
              </w:rPr>
              <w:t>建设情况</w:t>
            </w: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rPr>
              <w:t>仅建设部分，主体工程即投入使用</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rPr>
              <w:t>未建设，主体工程即投入使用</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12%</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025" w:type="dxa"/>
            <w:vMerge w:val="restart"/>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建设项目地点</w:t>
            </w:r>
          </w:p>
        </w:tc>
        <w:tc>
          <w:tcPr>
            <w:tcW w:w="4155"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在生态保护红线区域外</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990"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c>
          <w:tcPr>
            <w:tcW w:w="990"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02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排放污染物种类</w:t>
            </w: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未排放污染物</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除有毒有害污染物以外的其他污染物</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有毒有害污染物</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02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w:t>
            </w:r>
          </w:p>
          <w:p>
            <w:pPr>
              <w:spacing w:line="240" w:lineRule="auto"/>
              <w:ind w:firstLine="0"/>
              <w:jc w:val="center"/>
              <w:rPr>
                <w:rFonts w:ascii="宋体" w:hAnsi="宋体" w:eastAsia="宋体"/>
                <w:sz w:val="21"/>
                <w:szCs w:val="21"/>
              </w:rPr>
            </w:pPr>
            <w:r>
              <w:rPr>
                <w:rFonts w:ascii="宋体" w:hAnsi="宋体" w:eastAsia="宋体"/>
                <w:sz w:val="21"/>
                <w:szCs w:val="21"/>
              </w:rPr>
              <w:t>时间</w:t>
            </w:r>
          </w:p>
        </w:tc>
        <w:tc>
          <w:tcPr>
            <w:tcW w:w="4155" w:type="dxa"/>
            <w:vAlign w:val="center"/>
          </w:tcPr>
          <w:p>
            <w:pPr>
              <w:spacing w:line="240" w:lineRule="auto"/>
              <w:ind w:firstLine="0"/>
              <w:rPr>
                <w:rFonts w:ascii="宋体" w:hAnsi="宋体" w:eastAsia="宋体"/>
                <w:sz w:val="21"/>
                <w:szCs w:val="21"/>
              </w:rPr>
            </w:pPr>
            <w:r>
              <w:rPr>
                <w:rFonts w:ascii="宋体" w:hAnsi="宋体" w:eastAsia="宋体"/>
                <w:sz w:val="21"/>
                <w:szCs w:val="21"/>
              </w:rPr>
              <w:t>不足6个月</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sz w:val="21"/>
                <w:szCs w:val="21"/>
              </w:rPr>
            </w:pPr>
            <w:r>
              <w:rPr>
                <w:rFonts w:ascii="宋体" w:hAnsi="宋体" w:eastAsia="宋体"/>
                <w:sz w:val="21"/>
                <w:szCs w:val="21"/>
              </w:rPr>
              <w:t>6个月以上不足12个月</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sz w:val="21"/>
                <w:szCs w:val="21"/>
              </w:rPr>
            </w:pPr>
            <w:r>
              <w:rPr>
                <w:rFonts w:ascii="宋体" w:hAnsi="宋体" w:eastAsia="宋体"/>
                <w:sz w:val="21"/>
                <w:szCs w:val="21"/>
              </w:rPr>
              <w:t>12个月以上</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025" w:type="dxa"/>
            <w:vMerge w:val="restart"/>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环境违法次数（两年内，含本次）</w:t>
            </w: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1次</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2次</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4%</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8%</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2025" w:type="dxa"/>
            <w:vMerge w:val="continue"/>
            <w:vAlign w:val="center"/>
          </w:tcPr>
          <w:p>
            <w:pPr>
              <w:spacing w:line="240" w:lineRule="auto"/>
              <w:ind w:firstLine="0"/>
              <w:jc w:val="center"/>
              <w:rPr>
                <w:rFonts w:ascii="宋体" w:hAnsi="宋体" w:eastAsia="宋体"/>
                <w:sz w:val="21"/>
                <w:szCs w:val="21"/>
              </w:rPr>
            </w:pPr>
          </w:p>
        </w:tc>
        <w:tc>
          <w:tcPr>
            <w:tcW w:w="415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2025"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155"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2025" w:type="dxa"/>
            <w:vMerge w:val="continue"/>
            <w:vAlign w:val="center"/>
          </w:tcPr>
          <w:p>
            <w:pPr>
              <w:spacing w:line="240" w:lineRule="auto"/>
              <w:ind w:firstLine="0" w:firstLineChars="0"/>
              <w:jc w:val="center"/>
              <w:rPr>
                <w:rFonts w:ascii="宋体" w:hAnsi="宋体" w:eastAsia="宋体"/>
                <w:sz w:val="21"/>
                <w:szCs w:val="21"/>
              </w:rPr>
            </w:pPr>
          </w:p>
        </w:tc>
        <w:tc>
          <w:tcPr>
            <w:tcW w:w="4155"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建设项目环境保护管理条例》第二十三条规定“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的情形。</w:t>
      </w:r>
    </w:p>
    <w:p>
      <w:pPr>
        <w:spacing w:line="240" w:lineRule="auto"/>
        <w:ind w:firstLine="420" w:firstLineChars="200"/>
        <w:rPr>
          <w:rFonts w:ascii="宋体" w:hAnsi="宋体" w:eastAsia="宋体"/>
          <w:sz w:val="21"/>
          <w:szCs w:val="21"/>
        </w:rPr>
      </w:pPr>
      <w:r>
        <w:rPr>
          <w:rFonts w:ascii="宋体" w:hAnsi="宋体" w:eastAsia="宋体"/>
          <w:sz w:val="21"/>
          <w:szCs w:val="21"/>
        </w:rPr>
        <w:t>2、本表的裁量计算方法如下：</w:t>
      </w:r>
    </w:p>
    <w:p>
      <w:pPr>
        <w:spacing w:line="240" w:lineRule="auto"/>
        <w:ind w:firstLine="420" w:firstLineChars="200"/>
        <w:rPr>
          <w:rFonts w:ascii="宋体" w:hAnsi="宋体" w:eastAsia="宋体"/>
          <w:sz w:val="21"/>
          <w:szCs w:val="21"/>
        </w:rPr>
      </w:pPr>
      <w:r>
        <w:rPr>
          <w:rFonts w:ascii="宋体" w:hAnsi="宋体" w:eastAsia="宋体"/>
          <w:sz w:val="21"/>
          <w:szCs w:val="21"/>
        </w:rPr>
        <w:t>（1）及时改正的罚款金额=及时改正的裁量百分值总和×100万；</w:t>
      </w:r>
    </w:p>
    <w:p>
      <w:pPr>
        <w:spacing w:line="240" w:lineRule="auto"/>
        <w:ind w:firstLine="420" w:firstLineChars="200"/>
        <w:rPr>
          <w:rFonts w:ascii="宋体" w:hAnsi="宋体" w:eastAsia="宋体"/>
          <w:sz w:val="21"/>
          <w:szCs w:val="21"/>
        </w:rPr>
      </w:pPr>
      <w:r>
        <w:rPr>
          <w:rFonts w:ascii="宋体" w:hAnsi="宋体" w:eastAsia="宋体"/>
          <w:sz w:val="21"/>
          <w:szCs w:val="21"/>
        </w:rPr>
        <w:t>（2）逾期不改正的罚款金额=逾期不改正的裁量百分值总和×200万。</w:t>
      </w:r>
    </w:p>
    <w:p>
      <w:pPr>
        <w:spacing w:line="240" w:lineRule="auto"/>
        <w:ind w:firstLine="420" w:firstLineChars="200"/>
        <w:rPr>
          <w:rFonts w:ascii="宋体" w:hAnsi="宋体" w:eastAsia="宋体"/>
          <w:sz w:val="21"/>
          <w:szCs w:val="21"/>
        </w:rPr>
      </w:pPr>
      <w:r>
        <w:rPr>
          <w:rFonts w:ascii="宋体" w:hAnsi="宋体" w:eastAsia="宋体"/>
          <w:sz w:val="21"/>
          <w:szCs w:val="21"/>
        </w:rPr>
        <w:t>3、自然保护地未纳入生态保护红线区域的，按照自然保护地一般控制区进行裁量</w:t>
      </w:r>
      <w:r>
        <w:rPr>
          <w:rFonts w:hint="eastAsia" w:ascii="宋体" w:hAnsi="宋体" w:eastAsia="宋体"/>
          <w:sz w:val="21"/>
          <w:szCs w:val="21"/>
        </w:rPr>
        <w:t>。</w:t>
      </w:r>
    </w:p>
    <w:p>
      <w:pPr>
        <w:spacing w:line="240" w:lineRule="auto"/>
        <w:ind w:firstLine="420" w:firstLineChars="200"/>
        <w:rPr>
          <w:rFonts w:ascii="宋体" w:hAnsi="宋体" w:eastAsia="宋体"/>
          <w:sz w:val="21"/>
          <w:szCs w:val="21"/>
        </w:rPr>
      </w:pPr>
      <w:r>
        <w:rPr>
          <w:rFonts w:ascii="宋体" w:hAnsi="宋体" w:eastAsia="宋体"/>
          <w:sz w:val="21"/>
          <w:szCs w:val="21"/>
        </w:rPr>
        <w:t>4、逾期不改正是指</w:t>
      </w:r>
      <w:r>
        <w:rPr>
          <w:rFonts w:hint="eastAsia" w:ascii="宋体" w:hAnsi="宋体" w:eastAsia="宋体"/>
          <w:sz w:val="21"/>
          <w:szCs w:val="21"/>
          <w:lang w:eastAsia="zh-CN"/>
        </w:rPr>
        <w:t>当事人</w:t>
      </w:r>
      <w:r>
        <w:rPr>
          <w:rFonts w:ascii="宋体" w:hAnsi="宋体" w:eastAsia="宋体"/>
          <w:sz w:val="21"/>
          <w:szCs w:val="21"/>
        </w:rPr>
        <w:t>的违法行为在规定的期限内未完成整改。</w:t>
      </w:r>
    </w:p>
    <w:p>
      <w:pPr>
        <w:spacing w:line="240" w:lineRule="auto"/>
        <w:ind w:firstLine="420" w:firstLineChars="200"/>
        <w:rPr>
          <w:rFonts w:ascii="宋体" w:hAnsi="宋体" w:eastAsia="宋体"/>
          <w:sz w:val="21"/>
          <w:szCs w:val="21"/>
        </w:rPr>
      </w:pPr>
      <w:r>
        <w:rPr>
          <w:rFonts w:ascii="宋体" w:hAnsi="宋体" w:eastAsia="宋体"/>
          <w:sz w:val="21"/>
          <w:szCs w:val="21"/>
        </w:rPr>
        <w:t>5、需要配套建设的环境保护设施未建成，投入生产使用的违法行为中的违法行为持续时间是指从投入生产、使用之日到发现违法行为之日（不含本日），不扣除中间停止生产、使用时间。</w:t>
      </w:r>
    </w:p>
    <w:p>
      <w:pPr>
        <w:spacing w:line="240" w:lineRule="auto"/>
        <w:ind w:firstLine="420" w:firstLineChars="200"/>
        <w:rPr>
          <w:rFonts w:ascii="宋体" w:hAnsi="宋体" w:eastAsia="宋体"/>
          <w:sz w:val="21"/>
          <w:szCs w:val="21"/>
        </w:rPr>
      </w:pPr>
      <w:r>
        <w:rPr>
          <w:rFonts w:ascii="宋体" w:hAnsi="宋体" w:eastAsia="宋体"/>
          <w:sz w:val="21"/>
          <w:szCs w:val="21"/>
        </w:rPr>
        <w:t>6、对直接负责的主管人员和其他责任人员的罚款金额按照表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spacing w:line="240" w:lineRule="auto"/>
        <w:ind w:firstLine="420" w:firstLineChars="200"/>
        <w:rPr>
          <w:rFonts w:ascii="宋体" w:hAnsi="宋体" w:eastAsia="宋体"/>
          <w:sz w:val="21"/>
          <w:szCs w:val="21"/>
        </w:rPr>
      </w:pPr>
      <w:r>
        <w:rPr>
          <w:rFonts w:ascii="宋体" w:hAnsi="宋体" w:eastAsia="宋体"/>
          <w:sz w:val="21"/>
          <w:szCs w:val="21"/>
        </w:rPr>
        <w:t>7、本表所称的“以上”包括本数，“不足”不包括本数。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8、环境违法次数（两年内、含本次）指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9</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10</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pStyle w:val="12"/>
        <w:jc w:val="center"/>
        <w:rPr>
          <w:rFonts w:hint="eastAsia" w:ascii="华文仿宋" w:hAnsi="华文仿宋" w:eastAsia="华文仿宋" w:cs="华文仿宋"/>
          <w:sz w:val="28"/>
          <w:szCs w:val="18"/>
        </w:rPr>
      </w:pPr>
      <w:r>
        <w:rPr>
          <w:rFonts w:ascii="宋体" w:hAnsi="宋体" w:eastAsia="宋体"/>
          <w:sz w:val="21"/>
          <w:szCs w:val="21"/>
        </w:rPr>
        <w:br w:type="page"/>
      </w:r>
      <w:r>
        <w:rPr>
          <w:rFonts w:hint="eastAsia" w:ascii="华文仿宋" w:hAnsi="华文仿宋" w:eastAsia="华文仿宋" w:cs="华文仿宋"/>
          <w:sz w:val="28"/>
          <w:szCs w:val="18"/>
        </w:rPr>
        <w:t>表2-2 需要配套建设的环境保护设施未经验收或验收不合格，</w:t>
      </w:r>
    </w:p>
    <w:p>
      <w:pPr>
        <w:pStyle w:val="12"/>
        <w:jc w:val="center"/>
        <w:rPr>
          <w:rFonts w:hint="eastAsia" w:ascii="华文仿宋" w:hAnsi="华文仿宋" w:eastAsia="华文仿宋" w:cs="华文仿宋"/>
          <w:sz w:val="28"/>
          <w:szCs w:val="18"/>
        </w:rPr>
      </w:pPr>
      <w:r>
        <w:rPr>
          <w:rFonts w:hint="eastAsia" w:ascii="华文仿宋" w:hAnsi="华文仿宋" w:eastAsia="华文仿宋" w:cs="华文仿宋"/>
          <w:sz w:val="28"/>
          <w:szCs w:val="18"/>
        </w:rPr>
        <w:t>投入生产使用、验收中弄虚作假的裁量标准</w:t>
      </w:r>
    </w:p>
    <w:tbl>
      <w:tblPr>
        <w:tblStyle w:val="9"/>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959"/>
        <w:gridCol w:w="4221"/>
        <w:gridCol w:w="990"/>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1959"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221"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color w:val="000000"/>
                <w:sz w:val="21"/>
                <w:szCs w:val="21"/>
                <w:lang w:bidi="ar"/>
              </w:rPr>
              <w:t>裁量因子</w:t>
            </w:r>
          </w:p>
        </w:tc>
        <w:tc>
          <w:tcPr>
            <w:tcW w:w="1980"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Merge w:val="continue"/>
            <w:vAlign w:val="center"/>
          </w:tcPr>
          <w:p>
            <w:pPr>
              <w:spacing w:line="240" w:lineRule="auto"/>
              <w:ind w:firstLine="0"/>
              <w:jc w:val="center"/>
              <w:rPr>
                <w:rFonts w:ascii="宋体" w:hAnsi="宋体" w:eastAsia="宋体"/>
                <w:sz w:val="21"/>
                <w:szCs w:val="21"/>
              </w:rPr>
            </w:pPr>
          </w:p>
        </w:tc>
        <w:tc>
          <w:tcPr>
            <w:tcW w:w="99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及时</w:t>
            </w:r>
          </w:p>
          <w:p>
            <w:pPr>
              <w:spacing w:line="240" w:lineRule="auto"/>
              <w:ind w:firstLine="0"/>
              <w:jc w:val="center"/>
              <w:rPr>
                <w:rFonts w:ascii="宋体" w:hAnsi="宋体" w:eastAsia="宋体"/>
                <w:b/>
                <w:bCs/>
                <w:sz w:val="21"/>
                <w:szCs w:val="21"/>
              </w:rPr>
            </w:pPr>
            <w:r>
              <w:rPr>
                <w:rFonts w:ascii="宋体" w:hAnsi="宋体" w:eastAsia="宋体"/>
                <w:b/>
                <w:bCs/>
                <w:sz w:val="21"/>
                <w:szCs w:val="21"/>
              </w:rPr>
              <w:t>改正</w:t>
            </w:r>
          </w:p>
        </w:tc>
        <w:tc>
          <w:tcPr>
            <w:tcW w:w="99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逾期不改正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065"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20%</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项目应报批的环评文件类别</w:t>
            </w: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lang w:bidi="ar"/>
              </w:rPr>
              <w:t>报告表</w:t>
            </w:r>
          </w:p>
        </w:tc>
        <w:tc>
          <w:tcPr>
            <w:tcW w:w="99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c>
          <w:tcPr>
            <w:tcW w:w="99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lang w:bidi="ar"/>
              </w:rPr>
              <w:t>报告书且未实施排污许可证重点管理</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报告书且实施排污许可证重点管理</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污染防治设施建设情况</w:t>
            </w: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lang w:bidi="ar"/>
              </w:rPr>
              <w:t>已建成，并投入使用</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已建成，未投入使用</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验收情况</w:t>
            </w:r>
          </w:p>
        </w:tc>
        <w:tc>
          <w:tcPr>
            <w:tcW w:w="4221"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未经验收</w:t>
            </w:r>
          </w:p>
          <w:p>
            <w:pPr>
              <w:spacing w:line="240" w:lineRule="auto"/>
              <w:ind w:firstLine="0"/>
              <w:rPr>
                <w:rFonts w:ascii="宋体" w:hAnsi="宋体" w:eastAsia="宋体"/>
                <w:sz w:val="21"/>
                <w:szCs w:val="21"/>
                <w:lang w:bidi="ar"/>
              </w:rPr>
            </w:pPr>
            <w:r>
              <w:rPr>
                <w:rFonts w:ascii="宋体" w:hAnsi="宋体" w:eastAsia="宋体"/>
                <w:sz w:val="21"/>
                <w:szCs w:val="21"/>
                <w:lang w:bidi="ar"/>
              </w:rPr>
              <w:t>验收不合格</w:t>
            </w:r>
          </w:p>
          <w:p>
            <w:pPr>
              <w:spacing w:line="240" w:lineRule="auto"/>
              <w:ind w:firstLine="0"/>
              <w:rPr>
                <w:rFonts w:ascii="宋体" w:hAnsi="宋体" w:eastAsia="宋体"/>
                <w:sz w:val="21"/>
                <w:szCs w:val="21"/>
                <w:lang w:bidi="ar"/>
              </w:rPr>
            </w:pPr>
            <w:r>
              <w:rPr>
                <w:rFonts w:ascii="宋体" w:hAnsi="宋体" w:eastAsia="宋体"/>
                <w:sz w:val="21"/>
                <w:szCs w:val="21"/>
                <w:lang w:bidi="ar"/>
              </w:rPr>
              <w:t>验收弄虚作假未获得验收通过</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验收弄虚作假获得验收通过</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建设项目地点</w:t>
            </w:r>
          </w:p>
        </w:tc>
        <w:tc>
          <w:tcPr>
            <w:tcW w:w="4221"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在生态保护红线区域外</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990"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c>
          <w:tcPr>
            <w:tcW w:w="990"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排放污染物种类</w:t>
            </w: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未排放污染物</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除有毒有害污染物以外的其他污染物</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有毒有害污染物</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违法行为持续时间</w:t>
            </w:r>
          </w:p>
        </w:tc>
        <w:tc>
          <w:tcPr>
            <w:tcW w:w="4221" w:type="dxa"/>
            <w:vAlign w:val="center"/>
          </w:tcPr>
          <w:p>
            <w:pPr>
              <w:spacing w:line="240" w:lineRule="auto"/>
              <w:ind w:firstLine="0"/>
              <w:rPr>
                <w:rFonts w:ascii="宋体" w:hAnsi="宋体" w:eastAsia="宋体"/>
                <w:sz w:val="21"/>
                <w:szCs w:val="21"/>
              </w:rPr>
            </w:pPr>
            <w:r>
              <w:rPr>
                <w:rFonts w:ascii="宋体" w:hAnsi="宋体" w:eastAsia="宋体"/>
                <w:sz w:val="21"/>
                <w:szCs w:val="21"/>
              </w:rPr>
              <w:t>不足6个月</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sz w:val="21"/>
                <w:szCs w:val="21"/>
              </w:rPr>
            </w:pPr>
            <w:r>
              <w:rPr>
                <w:rFonts w:ascii="宋体" w:hAnsi="宋体" w:eastAsia="宋体"/>
                <w:sz w:val="21"/>
                <w:szCs w:val="21"/>
              </w:rPr>
              <w:t>6个月以上不足12个月</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sz w:val="21"/>
                <w:szCs w:val="21"/>
              </w:rPr>
            </w:pPr>
            <w:r>
              <w:rPr>
                <w:rFonts w:ascii="宋体" w:hAnsi="宋体" w:eastAsia="宋体"/>
                <w:sz w:val="21"/>
                <w:szCs w:val="21"/>
              </w:rPr>
              <w:t>12个月以上</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c>
          <w:tcPr>
            <w:tcW w:w="99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1959" w:type="dxa"/>
            <w:vMerge w:val="restart"/>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环境违法次数（两年内，含本次）</w:t>
            </w: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1次</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2次</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4%</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8%</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959" w:type="dxa"/>
            <w:vMerge w:val="continue"/>
            <w:vAlign w:val="center"/>
          </w:tcPr>
          <w:p>
            <w:pPr>
              <w:spacing w:line="240" w:lineRule="auto"/>
              <w:ind w:firstLine="0"/>
              <w:jc w:val="center"/>
              <w:rPr>
                <w:rFonts w:ascii="宋体" w:hAnsi="宋体" w:eastAsia="宋体"/>
                <w:sz w:val="21"/>
                <w:szCs w:val="21"/>
              </w:rPr>
            </w:pPr>
          </w:p>
        </w:tc>
        <w:tc>
          <w:tcPr>
            <w:tcW w:w="4221"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c>
          <w:tcPr>
            <w:tcW w:w="1959"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221"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959" w:type="dxa"/>
            <w:vMerge w:val="continue"/>
            <w:vAlign w:val="center"/>
          </w:tcPr>
          <w:p>
            <w:pPr>
              <w:spacing w:line="240" w:lineRule="auto"/>
              <w:ind w:firstLine="0" w:firstLineChars="0"/>
              <w:jc w:val="center"/>
              <w:rPr>
                <w:rFonts w:ascii="宋体" w:hAnsi="宋体" w:eastAsia="宋体"/>
                <w:sz w:val="21"/>
                <w:szCs w:val="21"/>
              </w:rPr>
            </w:pPr>
          </w:p>
        </w:tc>
        <w:tc>
          <w:tcPr>
            <w:tcW w:w="4221"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c>
          <w:tcPr>
            <w:tcW w:w="99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建设项目环境保护管理条例》第二十三条规定“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的情形。</w:t>
      </w:r>
    </w:p>
    <w:p>
      <w:pPr>
        <w:spacing w:line="240" w:lineRule="auto"/>
        <w:ind w:firstLine="420" w:firstLineChars="200"/>
        <w:rPr>
          <w:rFonts w:ascii="宋体" w:hAnsi="宋体" w:eastAsia="宋体"/>
          <w:sz w:val="21"/>
          <w:szCs w:val="21"/>
        </w:rPr>
      </w:pPr>
      <w:r>
        <w:rPr>
          <w:rFonts w:ascii="宋体" w:hAnsi="宋体" w:eastAsia="宋体"/>
          <w:sz w:val="21"/>
          <w:szCs w:val="21"/>
        </w:rPr>
        <w:t>2、本表的裁量计算方法如下：</w:t>
      </w:r>
    </w:p>
    <w:p>
      <w:pPr>
        <w:spacing w:line="240" w:lineRule="auto"/>
        <w:ind w:firstLine="420" w:firstLineChars="200"/>
        <w:rPr>
          <w:rFonts w:ascii="宋体" w:hAnsi="宋体" w:eastAsia="宋体"/>
          <w:sz w:val="21"/>
          <w:szCs w:val="21"/>
        </w:rPr>
      </w:pPr>
      <w:r>
        <w:rPr>
          <w:rFonts w:ascii="宋体" w:hAnsi="宋体" w:eastAsia="宋体"/>
          <w:sz w:val="21"/>
          <w:szCs w:val="21"/>
        </w:rPr>
        <w:t>（1）及时改正的罚款金额=及时改正的裁量百分值总和×100万；</w:t>
      </w:r>
    </w:p>
    <w:p>
      <w:pPr>
        <w:spacing w:line="240" w:lineRule="auto"/>
        <w:ind w:firstLine="420" w:firstLineChars="200"/>
        <w:rPr>
          <w:rFonts w:ascii="宋体" w:hAnsi="宋体" w:eastAsia="宋体"/>
          <w:sz w:val="21"/>
          <w:szCs w:val="21"/>
        </w:rPr>
      </w:pPr>
      <w:r>
        <w:rPr>
          <w:rFonts w:ascii="宋体" w:hAnsi="宋体" w:eastAsia="宋体"/>
          <w:sz w:val="21"/>
          <w:szCs w:val="21"/>
        </w:rPr>
        <w:t>（2）逾期不改正的罚款金额=逾期不改正的裁量百分值总和×200万。</w:t>
      </w:r>
    </w:p>
    <w:p>
      <w:pPr>
        <w:spacing w:line="240" w:lineRule="auto"/>
        <w:ind w:firstLine="420" w:firstLineChars="200"/>
        <w:rPr>
          <w:rFonts w:ascii="宋体" w:hAnsi="宋体" w:eastAsia="宋体"/>
          <w:sz w:val="21"/>
          <w:szCs w:val="21"/>
        </w:rPr>
      </w:pPr>
      <w:r>
        <w:rPr>
          <w:rFonts w:ascii="宋体" w:hAnsi="宋体" w:eastAsia="宋体"/>
          <w:sz w:val="21"/>
          <w:szCs w:val="21"/>
        </w:rPr>
        <w:t>3、自然保护地未纳入生态保护红线区域的，按照自然保护地一般控制区进行裁量。</w:t>
      </w:r>
    </w:p>
    <w:p>
      <w:pPr>
        <w:spacing w:line="240" w:lineRule="auto"/>
        <w:ind w:firstLine="420" w:firstLineChars="200"/>
        <w:rPr>
          <w:rFonts w:ascii="宋体" w:hAnsi="宋体" w:eastAsia="宋体"/>
          <w:sz w:val="21"/>
          <w:szCs w:val="21"/>
        </w:rPr>
      </w:pPr>
      <w:r>
        <w:rPr>
          <w:rFonts w:ascii="宋体" w:hAnsi="宋体" w:eastAsia="宋体"/>
          <w:sz w:val="21"/>
          <w:szCs w:val="21"/>
        </w:rPr>
        <w:t>4、逾期不改正是指</w:t>
      </w:r>
      <w:r>
        <w:rPr>
          <w:rFonts w:hint="eastAsia" w:ascii="宋体" w:hAnsi="宋体" w:eastAsia="宋体"/>
          <w:sz w:val="21"/>
          <w:szCs w:val="21"/>
          <w:lang w:eastAsia="zh-CN"/>
        </w:rPr>
        <w:t>当事人</w:t>
      </w:r>
      <w:r>
        <w:rPr>
          <w:rFonts w:ascii="宋体" w:hAnsi="宋体" w:eastAsia="宋体"/>
          <w:sz w:val="21"/>
          <w:szCs w:val="21"/>
        </w:rPr>
        <w:t>的违法行为在规定的期限内未完成整改。</w:t>
      </w:r>
    </w:p>
    <w:p>
      <w:pPr>
        <w:spacing w:line="240" w:lineRule="auto"/>
        <w:ind w:firstLine="420" w:firstLineChars="200"/>
        <w:rPr>
          <w:rFonts w:ascii="宋体" w:hAnsi="宋体" w:eastAsia="宋体"/>
          <w:sz w:val="21"/>
          <w:szCs w:val="21"/>
        </w:rPr>
      </w:pPr>
      <w:r>
        <w:rPr>
          <w:rFonts w:ascii="宋体" w:hAnsi="宋体" w:eastAsia="宋体"/>
          <w:sz w:val="21"/>
          <w:szCs w:val="21"/>
        </w:rPr>
        <w:t>5、需要配套建设的环境保护设施未经验收或验收不合格，投入生产使用的违法行为中的违法行为持续时间是指从投入生产、使用之日到发现违法行为之日（不含本日），不扣除中间停止生产、使用时间。在环境保护设施验收中弄虚作假的违法行为中的违法行为持续时间是指自竣工验收通过之日到发现违法行为之日（不含本日）。</w:t>
      </w:r>
    </w:p>
    <w:p>
      <w:pPr>
        <w:spacing w:line="240" w:lineRule="auto"/>
        <w:ind w:firstLine="420" w:firstLineChars="200"/>
        <w:rPr>
          <w:rFonts w:ascii="宋体" w:hAnsi="宋体" w:eastAsia="宋体"/>
          <w:sz w:val="21"/>
          <w:szCs w:val="21"/>
        </w:rPr>
      </w:pPr>
      <w:r>
        <w:rPr>
          <w:rFonts w:ascii="宋体" w:hAnsi="宋体" w:eastAsia="宋体"/>
          <w:sz w:val="21"/>
          <w:szCs w:val="21"/>
        </w:rPr>
        <w:t>6、对直接负责的主管人员和其他责任人员的罚款金额按照表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spacing w:line="240" w:lineRule="auto"/>
        <w:ind w:firstLine="420" w:firstLineChars="200"/>
        <w:rPr>
          <w:rFonts w:ascii="宋体" w:hAnsi="宋体" w:eastAsia="宋体"/>
          <w:sz w:val="21"/>
          <w:szCs w:val="21"/>
        </w:rPr>
      </w:pPr>
      <w:r>
        <w:rPr>
          <w:rFonts w:ascii="宋体" w:hAnsi="宋体" w:eastAsia="宋体"/>
          <w:sz w:val="21"/>
          <w:szCs w:val="21"/>
        </w:rPr>
        <w:t>7、本表所称的“以上”包括本数，“不足”不包括本数。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8、环境违法次数（两年内、含本次）指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ascii="宋体" w:hAnsi="宋体" w:eastAsia="宋体"/>
          <w:sz w:val="21"/>
          <w:szCs w:val="21"/>
        </w:rPr>
        <w:t>9、</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10</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420" w:firstLineChars="200"/>
        <w:outlineLvl w:val="1"/>
        <w:rPr>
          <w:rFonts w:eastAsia="方正楷体_GBK"/>
          <w:b/>
          <w:szCs w:val="32"/>
        </w:rPr>
      </w:pPr>
      <w:r>
        <w:rPr>
          <w:rFonts w:ascii="宋体" w:hAnsi="宋体" w:eastAsia="宋体"/>
          <w:sz w:val="21"/>
          <w:szCs w:val="21"/>
        </w:rPr>
        <w:br w:type="page"/>
      </w:r>
      <w:bookmarkStart w:id="3" w:name="_Toc7676"/>
      <w:r>
        <w:rPr>
          <w:rFonts w:eastAsia="方正楷体_GBK"/>
          <w:b/>
          <w:bCs w:val="0"/>
          <w:szCs w:val="32"/>
        </w:rPr>
        <w:t>（三）违反环境保护排污许可管理制度</w:t>
      </w:r>
      <w:bookmarkEnd w:id="3"/>
    </w:p>
    <w:p>
      <w:pPr>
        <w:pStyle w:val="12"/>
        <w:jc w:val="center"/>
        <w:rPr>
          <w:rFonts w:hint="eastAsia" w:ascii="华文仿宋" w:hAnsi="华文仿宋" w:eastAsia="华文仿宋" w:cs="华文仿宋"/>
          <w:sz w:val="28"/>
          <w:szCs w:val="18"/>
          <w:lang w:eastAsia="zh-CN"/>
        </w:rPr>
      </w:pPr>
      <w:r>
        <w:rPr>
          <w:rFonts w:hint="eastAsia" w:ascii="华文仿宋" w:hAnsi="华文仿宋" w:eastAsia="华文仿宋" w:cs="华文仿宋"/>
          <w:sz w:val="28"/>
          <w:szCs w:val="18"/>
        </w:rPr>
        <w:t>表3</w:t>
      </w:r>
      <w:r>
        <w:rPr>
          <w:rFonts w:hint="eastAsia" w:ascii="华文仿宋" w:hAnsi="华文仿宋" w:eastAsia="华文仿宋" w:cs="华文仿宋"/>
          <w:sz w:val="28"/>
          <w:szCs w:val="18"/>
          <w:lang w:val="en-US" w:eastAsia="zh-CN"/>
        </w:rPr>
        <w:t>-1</w:t>
      </w:r>
      <w:r>
        <w:rPr>
          <w:rFonts w:hint="eastAsia" w:ascii="华文仿宋" w:hAnsi="华文仿宋" w:eastAsia="华文仿宋" w:cs="华文仿宋"/>
          <w:sz w:val="28"/>
          <w:szCs w:val="18"/>
        </w:rPr>
        <w:t xml:space="preserve">  无证排污的裁量标准</w:t>
      </w:r>
      <w:r>
        <w:rPr>
          <w:rFonts w:hint="eastAsia" w:ascii="华文仿宋" w:hAnsi="华文仿宋" w:eastAsia="华文仿宋" w:cs="华文仿宋"/>
          <w:sz w:val="28"/>
          <w:szCs w:val="18"/>
          <w:lang w:eastAsia="zh-CN"/>
        </w:rPr>
        <w:t>（</w:t>
      </w:r>
      <w:r>
        <w:rPr>
          <w:rFonts w:hint="eastAsia" w:ascii="华文仿宋" w:hAnsi="华文仿宋" w:eastAsia="华文仿宋" w:cs="华文仿宋"/>
          <w:sz w:val="28"/>
          <w:szCs w:val="18"/>
          <w:lang w:val="en-US" w:eastAsia="zh-CN"/>
        </w:rPr>
        <w:t>1</w:t>
      </w:r>
      <w:r>
        <w:rPr>
          <w:rFonts w:hint="eastAsia" w:ascii="华文仿宋" w:hAnsi="华文仿宋" w:eastAsia="华文仿宋" w:cs="华文仿宋"/>
          <w:sz w:val="28"/>
          <w:szCs w:val="18"/>
          <w:lang w:eastAsia="zh-CN"/>
        </w:rPr>
        <w:t>）</w:t>
      </w:r>
    </w:p>
    <w:tbl>
      <w:tblPr>
        <w:tblStyle w:val="9"/>
        <w:tblW w:w="8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236"/>
        <w:gridCol w:w="446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6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3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46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2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64" w:type="dxa"/>
            <w:gridSpan w:val="3"/>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rPr>
              <w:t>裁量起点</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排污单位管理类别</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简化管理</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重点管理</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排放污染物种类</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除有毒有害污染物以外的大气、水污染物一般工业固体废物</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有毒有害大气、水污染物</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危险废物</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违法行为持续时间</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不足3个月</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3个月以上不足6个月</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6个月以上不足12个月</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12个月以上</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建设项目地点</w:t>
            </w:r>
          </w:p>
        </w:tc>
        <w:tc>
          <w:tcPr>
            <w:tcW w:w="4463"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在生态保护红线区域外</w:t>
            </w:r>
          </w:p>
        </w:tc>
        <w:tc>
          <w:tcPr>
            <w:tcW w:w="1521" w:type="dxa"/>
            <w:vAlign w:val="center"/>
          </w:tcPr>
          <w:p>
            <w:pPr>
              <w:spacing w:line="240" w:lineRule="auto"/>
              <w:ind w:firstLine="0"/>
              <w:jc w:val="center"/>
              <w:rPr>
                <w:rFonts w:ascii="宋体" w:hAnsi="宋体" w:eastAsia="宋体"/>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521" w:type="dxa"/>
            <w:vAlign w:val="center"/>
          </w:tcPr>
          <w:p>
            <w:pPr>
              <w:spacing w:line="240" w:lineRule="auto"/>
              <w:ind w:firstLine="0"/>
              <w:jc w:val="center"/>
              <w:rPr>
                <w:rFonts w:hint="default" w:ascii="宋体" w:hAnsi="宋体" w:eastAsia="宋体"/>
                <w:sz w:val="21"/>
                <w:szCs w:val="21"/>
                <w:lang w:val="en-US" w:eastAsia="zh-CN" w:bidi="ar"/>
              </w:rPr>
            </w:pPr>
            <w:r>
              <w:rPr>
                <w:rFonts w:hint="eastAsia" w:ascii="宋体" w:hAnsi="宋体" w:eastAsia="宋体"/>
                <w:sz w:val="21"/>
                <w:szCs w:val="21"/>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65" w:type="dxa"/>
            <w:vMerge w:val="continue"/>
            <w:vAlign w:val="center"/>
          </w:tcPr>
          <w:p>
            <w:pPr>
              <w:spacing w:line="240" w:lineRule="auto"/>
              <w:ind w:firstLine="0"/>
              <w:jc w:val="center"/>
            </w:pPr>
          </w:p>
        </w:tc>
        <w:tc>
          <w:tcPr>
            <w:tcW w:w="2236" w:type="dxa"/>
            <w:vMerge w:val="continue"/>
            <w:vAlign w:val="center"/>
          </w:tcPr>
          <w:p>
            <w:pPr>
              <w:spacing w:line="240" w:lineRule="auto"/>
              <w:ind w:firstLine="0"/>
              <w:jc w:val="cente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环境违法次数</w:t>
            </w:r>
          </w:p>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（两年内，含本次）</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1次</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2次</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color w:val="000000"/>
                <w:sz w:val="21"/>
                <w:szCs w:val="21"/>
                <w:lang w:bidi="ar"/>
              </w:rPr>
            </w:pPr>
            <w:r>
              <w:rPr>
                <w:rFonts w:ascii="宋体" w:hAnsi="宋体" w:eastAsia="宋体"/>
                <w:color w:val="000000"/>
                <w:sz w:val="21"/>
                <w:szCs w:val="21"/>
                <w:lang w:bidi="ar"/>
              </w:rPr>
              <w:t>（一年内）</w:t>
            </w:r>
          </w:p>
        </w:tc>
        <w:tc>
          <w:tcPr>
            <w:tcW w:w="4463"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b/>
                <w:bCs/>
                <w:sz w:val="21"/>
                <w:szCs w:val="21"/>
              </w:rPr>
            </w:pPr>
          </w:p>
        </w:tc>
        <w:tc>
          <w:tcPr>
            <w:tcW w:w="2236" w:type="dxa"/>
            <w:vMerge w:val="continue"/>
            <w:vAlign w:val="center"/>
          </w:tcPr>
          <w:p>
            <w:pPr>
              <w:spacing w:line="240" w:lineRule="auto"/>
              <w:ind w:firstLine="0" w:firstLineChars="0"/>
              <w:jc w:val="center"/>
              <w:rPr>
                <w:rFonts w:ascii="宋体" w:hAnsi="宋体" w:eastAsia="宋体"/>
                <w:color w:val="000000"/>
                <w:sz w:val="21"/>
                <w:szCs w:val="21"/>
                <w:lang w:bidi="ar"/>
              </w:rPr>
            </w:pPr>
          </w:p>
        </w:tc>
        <w:tc>
          <w:tcPr>
            <w:tcW w:w="4463" w:type="dxa"/>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用于《中华人民共和国大气污染防治法》第九十九条规定的“未依法取得排污许可证排放大气污染物的，由县级以上人民政府生态环境主管部门责令改正或者限制生产、停产整治，并处十万元以上一百万元以下的罚款；情节严重的，报经有批准权的人民政府批准，责令停业、关闭”、《中华人民共和国水污染防治法》第八十三条规定的“未依法取得排污许可证排放水污染物的，由县级以上人民政府环境保护主管部门责令改正或者责令限制生产、停产整治,并处十万元以上一百万元以下的罚款；情节严重的,报经有批准权的人民政府批准，责令停业、关闭”、《中华人民共和国固体废物污染环境防治法》第一百零四条规定“违反本法规定，未依法取得排污许可证产生工业固体废物的，由生态环境主管部门责令改正或者限制生产、停产整治，处十万元以上一百万元以下的罚款；情节严重的，报经有批准权的人民政府批准，责令停业或者关闭”。</w:t>
      </w:r>
    </w:p>
    <w:p>
      <w:pPr>
        <w:spacing w:line="240" w:lineRule="auto"/>
        <w:ind w:firstLine="420" w:firstLineChars="200"/>
        <w:rPr>
          <w:rFonts w:ascii="宋体" w:hAnsi="宋体" w:eastAsia="宋体"/>
          <w:sz w:val="21"/>
          <w:szCs w:val="21"/>
        </w:rPr>
      </w:pPr>
      <w:r>
        <w:rPr>
          <w:rFonts w:ascii="宋体" w:hAnsi="宋体" w:eastAsia="宋体"/>
          <w:sz w:val="21"/>
          <w:szCs w:val="21"/>
        </w:rPr>
        <w:t>2、自然保护地未纳入生态保护红线区域的，按照自然保护地一般控制区进行裁量</w:t>
      </w:r>
      <w:r>
        <w:rPr>
          <w:rFonts w:hint="eastAsia" w:ascii="宋体" w:hAnsi="宋体" w:eastAsia="宋体"/>
          <w:sz w:val="21"/>
          <w:szCs w:val="21"/>
        </w:rPr>
        <w:t>。</w:t>
      </w:r>
    </w:p>
    <w:p>
      <w:pPr>
        <w:spacing w:line="240" w:lineRule="auto"/>
        <w:ind w:firstLine="420" w:firstLineChars="200"/>
        <w:rPr>
          <w:rFonts w:ascii="宋体" w:hAnsi="宋体" w:eastAsia="宋体"/>
          <w:sz w:val="21"/>
          <w:szCs w:val="21"/>
        </w:rPr>
      </w:pPr>
      <w:r>
        <w:rPr>
          <w:rFonts w:ascii="宋体" w:hAnsi="宋体" w:eastAsia="宋体"/>
          <w:sz w:val="21"/>
          <w:szCs w:val="21"/>
        </w:rPr>
        <w:t>3、违法行为持续时间是从排污单位发生实际排污行为之日（含本日）起算。</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rPr>
      </w:pPr>
    </w:p>
    <w:p>
      <w:pPr>
        <w:pStyle w:val="12"/>
        <w:jc w:val="center"/>
        <w:rPr>
          <w:rFonts w:hint="eastAsia" w:ascii="华文仿宋" w:hAnsi="华文仿宋" w:eastAsia="华文仿宋" w:cs="华文仿宋"/>
          <w:sz w:val="28"/>
          <w:szCs w:val="18"/>
          <w:lang w:eastAsia="zh-CN"/>
        </w:rPr>
      </w:pPr>
      <w:r>
        <w:rPr>
          <w:rFonts w:hint="eastAsia" w:ascii="华文仿宋" w:hAnsi="华文仿宋" w:eastAsia="华文仿宋" w:cs="华文仿宋"/>
          <w:sz w:val="28"/>
          <w:szCs w:val="18"/>
        </w:rPr>
        <w:t>表3</w:t>
      </w:r>
      <w:r>
        <w:rPr>
          <w:rFonts w:hint="eastAsia" w:ascii="华文仿宋" w:hAnsi="华文仿宋" w:eastAsia="华文仿宋" w:cs="华文仿宋"/>
          <w:sz w:val="28"/>
          <w:szCs w:val="18"/>
          <w:lang w:val="en-US" w:eastAsia="zh-CN"/>
        </w:rPr>
        <w:t>-2</w:t>
      </w:r>
      <w:r>
        <w:rPr>
          <w:rFonts w:hint="eastAsia" w:ascii="华文仿宋" w:hAnsi="华文仿宋" w:eastAsia="华文仿宋" w:cs="华文仿宋"/>
          <w:sz w:val="28"/>
          <w:szCs w:val="18"/>
        </w:rPr>
        <w:t xml:space="preserve">  无证排污的裁量标准</w:t>
      </w:r>
      <w:r>
        <w:rPr>
          <w:rFonts w:hint="eastAsia" w:ascii="华文仿宋" w:hAnsi="华文仿宋" w:eastAsia="华文仿宋" w:cs="华文仿宋"/>
          <w:sz w:val="28"/>
          <w:szCs w:val="18"/>
          <w:lang w:eastAsia="zh-CN"/>
        </w:rPr>
        <w:t>（</w:t>
      </w:r>
      <w:r>
        <w:rPr>
          <w:rFonts w:hint="eastAsia" w:ascii="华文仿宋" w:hAnsi="华文仿宋" w:eastAsia="华文仿宋" w:cs="华文仿宋"/>
          <w:sz w:val="28"/>
          <w:szCs w:val="18"/>
          <w:lang w:val="en-US" w:eastAsia="zh-CN"/>
        </w:rPr>
        <w:t>2</w:t>
      </w:r>
      <w:r>
        <w:rPr>
          <w:rFonts w:hint="eastAsia" w:ascii="华文仿宋" w:hAnsi="华文仿宋" w:eastAsia="华文仿宋" w:cs="华文仿宋"/>
          <w:sz w:val="28"/>
          <w:szCs w:val="18"/>
          <w:lang w:eastAsia="zh-CN"/>
        </w:rPr>
        <w:t>）</w:t>
      </w:r>
    </w:p>
    <w:tbl>
      <w:tblPr>
        <w:tblStyle w:val="9"/>
        <w:tblW w:w="8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236"/>
        <w:gridCol w:w="446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6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3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46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2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64" w:type="dxa"/>
            <w:gridSpan w:val="3"/>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rPr>
              <w:t>裁量起点</w:t>
            </w:r>
          </w:p>
        </w:tc>
        <w:tc>
          <w:tcPr>
            <w:tcW w:w="1521"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2</w:t>
            </w: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排污单位管理类别</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简化管理</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重点管理</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排放污染物种类</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除有毒有害污染物以外的大气、水污染物一般工业固体废物</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有毒有害大气、水污染物</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危险废物</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违法行为持续时间</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不足3个月</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3个月以上不足6个月</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6个月以上不足12个月</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12个月以上</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建设项目地点</w:t>
            </w:r>
          </w:p>
        </w:tc>
        <w:tc>
          <w:tcPr>
            <w:tcW w:w="4463"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在生态保护红线区域外</w:t>
            </w:r>
          </w:p>
        </w:tc>
        <w:tc>
          <w:tcPr>
            <w:tcW w:w="1521" w:type="dxa"/>
            <w:vAlign w:val="center"/>
          </w:tcPr>
          <w:p>
            <w:pPr>
              <w:spacing w:line="240" w:lineRule="auto"/>
              <w:ind w:firstLine="0"/>
              <w:jc w:val="center"/>
              <w:rPr>
                <w:rFonts w:ascii="宋体" w:hAnsi="宋体" w:eastAsia="宋体"/>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521" w:type="dxa"/>
            <w:vAlign w:val="center"/>
          </w:tcPr>
          <w:p>
            <w:pPr>
              <w:spacing w:line="240" w:lineRule="auto"/>
              <w:ind w:firstLine="0"/>
              <w:jc w:val="center"/>
              <w:rPr>
                <w:rFonts w:ascii="宋体" w:hAnsi="宋体" w:eastAsia="宋体"/>
                <w:sz w:val="21"/>
                <w:szCs w:val="21"/>
                <w:lang w:bidi="ar"/>
              </w:rPr>
            </w:pPr>
            <w:r>
              <w:rPr>
                <w:rFonts w:hint="eastAsia" w:ascii="宋体" w:hAnsi="宋体" w:eastAsia="宋体"/>
                <w:color w:val="000000"/>
                <w:sz w:val="21"/>
                <w:szCs w:val="21"/>
                <w:lang w:val="en-US" w:eastAsia="zh-CN"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65" w:type="dxa"/>
            <w:vMerge w:val="continue"/>
            <w:vAlign w:val="center"/>
          </w:tcPr>
          <w:p>
            <w:pPr>
              <w:spacing w:line="240" w:lineRule="auto"/>
              <w:ind w:firstLine="0"/>
              <w:jc w:val="center"/>
            </w:pPr>
          </w:p>
        </w:tc>
        <w:tc>
          <w:tcPr>
            <w:tcW w:w="2236" w:type="dxa"/>
            <w:vMerge w:val="continue"/>
            <w:vAlign w:val="center"/>
          </w:tcPr>
          <w:p>
            <w:pPr>
              <w:spacing w:line="240" w:lineRule="auto"/>
              <w:ind w:firstLine="0"/>
              <w:jc w:val="cente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1521" w:type="dxa"/>
            <w:vAlign w:val="center"/>
          </w:tcPr>
          <w:p>
            <w:pPr>
              <w:spacing w:line="240" w:lineRule="auto"/>
              <w:ind w:firstLine="0"/>
              <w:jc w:val="center"/>
              <w:rPr>
                <w:rFonts w:hint="default" w:ascii="宋体" w:hAnsi="宋体" w:eastAsia="宋体"/>
                <w:color w:val="000000"/>
                <w:sz w:val="21"/>
                <w:szCs w:val="21"/>
                <w:lang w:val="en-US" w:eastAsia="zh-CN" w:bidi="ar"/>
              </w:rPr>
            </w:pPr>
            <w:r>
              <w:rPr>
                <w:rFonts w:hint="eastAsia" w:ascii="宋体" w:hAnsi="宋体" w:eastAsia="宋体"/>
                <w:color w:val="000000"/>
                <w:sz w:val="21"/>
                <w:szCs w:val="21"/>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环境违法次数</w:t>
            </w:r>
          </w:p>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（两年内，含本次）</w:t>
            </w: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1次</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2次</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1521"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4</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sz w:val="21"/>
                <w:szCs w:val="21"/>
              </w:rPr>
            </w:pPr>
          </w:p>
        </w:tc>
        <w:tc>
          <w:tcPr>
            <w:tcW w:w="2236" w:type="dxa"/>
            <w:vMerge w:val="continue"/>
            <w:vAlign w:val="center"/>
          </w:tcPr>
          <w:p>
            <w:pPr>
              <w:spacing w:line="240" w:lineRule="auto"/>
              <w:ind w:firstLine="0"/>
              <w:jc w:val="center"/>
              <w:rPr>
                <w:rFonts w:ascii="宋体" w:hAnsi="宋体" w:eastAsia="宋体"/>
                <w:color w:val="000000"/>
                <w:sz w:val="21"/>
                <w:szCs w:val="21"/>
                <w:lang w:bidi="ar"/>
              </w:rPr>
            </w:pPr>
          </w:p>
        </w:tc>
        <w:tc>
          <w:tcPr>
            <w:tcW w:w="446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2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2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color w:val="000000"/>
                <w:sz w:val="21"/>
                <w:szCs w:val="21"/>
                <w:lang w:bidi="ar"/>
              </w:rPr>
            </w:pPr>
            <w:r>
              <w:rPr>
                <w:rFonts w:ascii="宋体" w:hAnsi="宋体" w:eastAsia="宋体"/>
                <w:color w:val="000000"/>
                <w:sz w:val="21"/>
                <w:szCs w:val="21"/>
                <w:lang w:bidi="ar"/>
              </w:rPr>
              <w:t>（一年内）</w:t>
            </w:r>
          </w:p>
        </w:tc>
        <w:tc>
          <w:tcPr>
            <w:tcW w:w="4463"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65" w:type="dxa"/>
            <w:vMerge w:val="continue"/>
            <w:vAlign w:val="center"/>
          </w:tcPr>
          <w:p>
            <w:pPr>
              <w:spacing w:line="240" w:lineRule="auto"/>
              <w:ind w:firstLine="0"/>
              <w:jc w:val="center"/>
              <w:rPr>
                <w:rFonts w:ascii="宋体" w:hAnsi="宋体" w:eastAsia="宋体"/>
                <w:b/>
                <w:bCs/>
                <w:sz w:val="21"/>
                <w:szCs w:val="21"/>
              </w:rPr>
            </w:pPr>
          </w:p>
        </w:tc>
        <w:tc>
          <w:tcPr>
            <w:tcW w:w="2236" w:type="dxa"/>
            <w:vMerge w:val="continue"/>
            <w:vAlign w:val="center"/>
          </w:tcPr>
          <w:p>
            <w:pPr>
              <w:spacing w:line="240" w:lineRule="auto"/>
              <w:ind w:firstLine="0" w:firstLineChars="0"/>
              <w:jc w:val="center"/>
              <w:rPr>
                <w:rFonts w:ascii="宋体" w:hAnsi="宋体" w:eastAsia="宋体"/>
                <w:color w:val="000000"/>
                <w:sz w:val="21"/>
                <w:szCs w:val="21"/>
                <w:lang w:bidi="ar"/>
              </w:rPr>
            </w:pPr>
          </w:p>
        </w:tc>
        <w:tc>
          <w:tcPr>
            <w:tcW w:w="4463" w:type="dxa"/>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521"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注：1、本表用于</w:t>
      </w:r>
      <w:r>
        <w:rPr>
          <w:rFonts w:hint="eastAsia" w:ascii="宋体" w:hAnsi="宋体" w:eastAsia="宋体"/>
          <w:sz w:val="21"/>
          <w:szCs w:val="21"/>
        </w:rPr>
        <w:t>《排污许可管理条例》第三十三条</w:t>
      </w:r>
      <w:r>
        <w:rPr>
          <w:rFonts w:ascii="宋体" w:hAnsi="宋体" w:eastAsia="宋体"/>
          <w:sz w:val="21"/>
          <w:szCs w:val="21"/>
        </w:rPr>
        <w:t>规定的“</w:t>
      </w:r>
      <w:r>
        <w:rPr>
          <w:rFonts w:hint="eastAsia" w:ascii="宋体" w:hAnsi="宋体" w:eastAsia="宋体"/>
          <w:sz w:val="21"/>
          <w:szCs w:val="21"/>
        </w:rPr>
        <w:t>违反本条例规定，排污单位有下列行为之一的，由生态环境主管部门责令改正或者限制生产、停产整治，处20万元以上100万元以下的罚款；情节严重的，报经有批准权的人民政府批准，责令停业、关闭：（一）未取得排污许可证排放污染物；（二）排污许可证有效期届满未申请延续或者延续申请未经批准排放污染物；（三）被依法撤销、注销、吊销排污许可证后排放污染物；（四）依法应当重新申请取得排污许可证，未重新申请取得排污许可证排放污染物。</w:t>
      </w:r>
      <w:r>
        <w:rPr>
          <w:rFonts w:ascii="宋体" w:hAnsi="宋体" w:eastAsia="宋体"/>
          <w:sz w:val="21"/>
          <w:szCs w:val="21"/>
        </w:rPr>
        <w:t>”。</w:t>
      </w:r>
    </w:p>
    <w:p>
      <w:pPr>
        <w:spacing w:line="240" w:lineRule="auto"/>
        <w:ind w:firstLine="420" w:firstLineChars="200"/>
        <w:rPr>
          <w:rFonts w:ascii="宋体" w:hAnsi="宋体" w:eastAsia="宋体"/>
          <w:sz w:val="21"/>
          <w:szCs w:val="21"/>
        </w:rPr>
      </w:pPr>
      <w:r>
        <w:rPr>
          <w:rFonts w:ascii="宋体" w:hAnsi="宋体" w:eastAsia="宋体"/>
          <w:sz w:val="21"/>
          <w:szCs w:val="21"/>
        </w:rPr>
        <w:t>2、自然保护地未纳入生态保护红线区域的，按照自然保护地一般控制区进行裁量</w:t>
      </w:r>
      <w:r>
        <w:rPr>
          <w:rFonts w:hint="eastAsia" w:ascii="宋体" w:hAnsi="宋体" w:eastAsia="宋体"/>
          <w:sz w:val="21"/>
          <w:szCs w:val="21"/>
        </w:rPr>
        <w:t>。</w:t>
      </w:r>
    </w:p>
    <w:p>
      <w:pPr>
        <w:spacing w:line="240" w:lineRule="auto"/>
        <w:ind w:firstLine="420" w:firstLineChars="200"/>
        <w:rPr>
          <w:rFonts w:ascii="宋体" w:hAnsi="宋体" w:eastAsia="宋体"/>
          <w:sz w:val="21"/>
          <w:szCs w:val="21"/>
        </w:rPr>
      </w:pPr>
      <w:r>
        <w:rPr>
          <w:rFonts w:ascii="宋体" w:hAnsi="宋体" w:eastAsia="宋体"/>
          <w:sz w:val="21"/>
          <w:szCs w:val="21"/>
        </w:rPr>
        <w:t>3、违法行为持续时间是从排污单位发生实际排污行为之日（含本日）起算。</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ind w:firstLine="420" w:firstLineChars="200"/>
        <w:outlineLvl w:val="1"/>
        <w:rPr>
          <w:rFonts w:ascii="宋体" w:hAnsi="宋体" w:eastAsia="宋体"/>
          <w:sz w:val="21"/>
          <w:szCs w:val="21"/>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 xml:space="preserve">表3-3  </w:t>
      </w:r>
      <w:r>
        <w:rPr>
          <w:rFonts w:hint="eastAsia" w:ascii="华文仿宋" w:hAnsi="华文仿宋" w:eastAsia="华文仿宋" w:cs="华文仿宋"/>
          <w:sz w:val="28"/>
          <w:szCs w:val="18"/>
        </w:rPr>
        <w:t>超过许可浓度排放污染物</w:t>
      </w:r>
      <w:r>
        <w:rPr>
          <w:rFonts w:hint="eastAsia" w:ascii="华文仿宋" w:hAnsi="华文仿宋" w:eastAsia="华文仿宋" w:cs="华文仿宋"/>
          <w:sz w:val="28"/>
          <w:szCs w:val="18"/>
          <w:lang w:eastAsia="zh-CN"/>
        </w:rPr>
        <w:t>（</w:t>
      </w:r>
      <w:r>
        <w:rPr>
          <w:rFonts w:hint="eastAsia" w:ascii="华文仿宋" w:hAnsi="华文仿宋" w:eastAsia="华文仿宋" w:cs="华文仿宋"/>
          <w:sz w:val="28"/>
          <w:szCs w:val="18"/>
        </w:rPr>
        <w:t>水</w:t>
      </w:r>
      <w:r>
        <w:rPr>
          <w:rFonts w:hint="eastAsia" w:ascii="华文仿宋" w:hAnsi="华文仿宋" w:eastAsia="华文仿宋" w:cs="华文仿宋"/>
          <w:sz w:val="28"/>
          <w:szCs w:val="18"/>
          <w:lang w:eastAsia="zh-CN"/>
        </w:rPr>
        <w:t>）</w:t>
      </w:r>
      <w:r>
        <w:rPr>
          <w:rFonts w:hint="eastAsia" w:ascii="华文仿宋" w:hAnsi="华文仿宋" w:eastAsia="华文仿宋" w:cs="华文仿宋"/>
          <w:snapToGrid w:val="0"/>
          <w:sz w:val="28"/>
          <w:szCs w:val="18"/>
          <w:lang w:val="en-US" w:eastAsia="zh-CN" w:bidi="ar-SA"/>
        </w:rPr>
        <w:t>的裁量标准</w:t>
      </w:r>
    </w:p>
    <w:tbl>
      <w:tblPr>
        <w:tblStyle w:val="9"/>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136"/>
        <w:gridCol w:w="4612"/>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136"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4612"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1424"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574" w:type="dxa"/>
            <w:gridSpan w:val="3"/>
            <w:vAlign w:val="center"/>
          </w:tcPr>
          <w:p>
            <w:pPr>
              <w:spacing w:line="240" w:lineRule="auto"/>
              <w:ind w:firstLine="0"/>
              <w:jc w:val="center"/>
              <w:rPr>
                <w:rFonts w:ascii="宋体" w:hAnsi="宋体" w:eastAsia="宋体"/>
                <w:bCs/>
                <w:sz w:val="21"/>
                <w:szCs w:val="21"/>
                <w:lang w:bidi="ar"/>
              </w:rPr>
            </w:pPr>
            <w:r>
              <w:rPr>
                <w:rFonts w:ascii="宋体" w:hAnsi="宋体" w:eastAsia="宋体"/>
                <w:bCs/>
                <w:sz w:val="21"/>
                <w:szCs w:val="21"/>
                <w:lang w:bidi="ar"/>
              </w:rPr>
              <w:t>裁量起点</w:t>
            </w:r>
          </w:p>
        </w:tc>
        <w:tc>
          <w:tcPr>
            <w:tcW w:w="1424" w:type="dxa"/>
            <w:vAlign w:val="center"/>
          </w:tcPr>
          <w:p>
            <w:pPr>
              <w:spacing w:line="240" w:lineRule="auto"/>
              <w:ind w:firstLine="0"/>
              <w:jc w:val="center"/>
              <w:rPr>
                <w:rFonts w:ascii="宋体" w:hAnsi="宋体" w:eastAsia="宋体"/>
                <w:bCs/>
                <w:sz w:val="21"/>
                <w:szCs w:val="21"/>
                <w:lang w:bidi="ar"/>
              </w:rPr>
            </w:pPr>
            <w:r>
              <w:rPr>
                <w:rFonts w:hint="eastAsia" w:ascii="宋体" w:hAnsi="宋体" w:eastAsia="宋体"/>
                <w:bCs/>
                <w:sz w:val="21"/>
                <w:szCs w:val="21"/>
                <w:lang w:val="en-US" w:eastAsia="zh-CN" w:bidi="ar"/>
              </w:rPr>
              <w:t>2</w:t>
            </w:r>
            <w:r>
              <w:rPr>
                <w:rFonts w:ascii="宋体" w:hAnsi="宋体" w:eastAsia="宋体"/>
                <w:bCs/>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136" w:type="dxa"/>
            <w:vMerge w:val="restart"/>
            <w:vAlign w:val="center"/>
          </w:tcPr>
          <w:p>
            <w:pPr>
              <w:spacing w:line="240" w:lineRule="auto"/>
              <w:ind w:firstLine="0"/>
              <w:jc w:val="center"/>
              <w:rPr>
                <w:rFonts w:ascii="宋体" w:hAnsi="宋体" w:eastAsia="宋体"/>
                <w:sz w:val="21"/>
                <w:szCs w:val="21"/>
              </w:rPr>
            </w:pPr>
          </w:p>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数目</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1个</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2个</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3个以上</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26" w:type="dxa"/>
            <w:vMerge w:val="restart"/>
            <w:vAlign w:val="center"/>
          </w:tcPr>
          <w:p>
            <w:pPr>
              <w:spacing w:line="240" w:lineRule="auto"/>
              <w:ind w:firstLine="0" w:firstLineChars="0"/>
              <w:jc w:val="center"/>
              <w:rPr>
                <w:rFonts w:ascii="宋体" w:hAnsi="宋体" w:eastAsia="宋体"/>
                <w:sz w:val="21"/>
                <w:szCs w:val="21"/>
              </w:rPr>
            </w:pPr>
            <w:r>
              <w:rPr>
                <w:rFonts w:ascii="宋体" w:hAnsi="宋体" w:eastAsia="宋体"/>
                <w:sz w:val="21"/>
                <w:szCs w:val="21"/>
              </w:rPr>
              <w:t>2</w:t>
            </w:r>
          </w:p>
        </w:tc>
        <w:tc>
          <w:tcPr>
            <w:tcW w:w="2136" w:type="dxa"/>
            <w:vMerge w:val="restart"/>
            <w:vAlign w:val="center"/>
          </w:tcPr>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排放污染物种类</w:t>
            </w:r>
          </w:p>
        </w:tc>
        <w:tc>
          <w:tcPr>
            <w:tcW w:w="4612"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除有毒有害污染物以外的水污染物</w:t>
            </w:r>
          </w:p>
        </w:tc>
        <w:tc>
          <w:tcPr>
            <w:tcW w:w="1424" w:type="dxa"/>
            <w:vAlign w:val="center"/>
          </w:tcPr>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26" w:type="dxa"/>
            <w:vMerge w:val="continue"/>
            <w:vAlign w:val="center"/>
          </w:tcPr>
          <w:p>
            <w:pPr>
              <w:spacing w:line="240" w:lineRule="auto"/>
              <w:ind w:firstLine="0" w:firstLineChars="0"/>
              <w:jc w:val="center"/>
              <w:rPr>
                <w:rFonts w:ascii="宋体" w:hAnsi="宋体" w:eastAsia="宋体"/>
                <w:sz w:val="21"/>
                <w:szCs w:val="21"/>
              </w:rPr>
            </w:pPr>
          </w:p>
        </w:tc>
        <w:tc>
          <w:tcPr>
            <w:tcW w:w="2136" w:type="dxa"/>
            <w:vMerge w:val="continue"/>
            <w:vAlign w:val="center"/>
          </w:tcPr>
          <w:p>
            <w:pPr>
              <w:spacing w:line="240" w:lineRule="auto"/>
              <w:ind w:firstLine="0" w:firstLineChars="0"/>
              <w:jc w:val="center"/>
              <w:rPr>
                <w:rFonts w:ascii="宋体" w:hAnsi="宋体" w:eastAsia="宋体"/>
                <w:sz w:val="21"/>
                <w:szCs w:val="21"/>
              </w:rPr>
            </w:pPr>
          </w:p>
        </w:tc>
        <w:tc>
          <w:tcPr>
            <w:tcW w:w="4612"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有毒有害水污染物</w:t>
            </w:r>
          </w:p>
        </w:tc>
        <w:tc>
          <w:tcPr>
            <w:tcW w:w="1424" w:type="dxa"/>
            <w:vAlign w:val="center"/>
          </w:tcPr>
          <w:p>
            <w:pPr>
              <w:spacing w:line="240" w:lineRule="auto"/>
              <w:ind w:firstLine="0" w:firstLineChars="0"/>
              <w:jc w:val="center"/>
              <w:rPr>
                <w:rFonts w:ascii="宋体" w:hAnsi="宋体" w:eastAsia="宋体"/>
                <w:sz w:val="21"/>
                <w:szCs w:val="21"/>
              </w:rPr>
            </w:pPr>
            <w:r>
              <w:rPr>
                <w:rFonts w:hint="eastAsia" w:ascii="宋体" w:hAnsi="宋体" w:eastAsia="宋体"/>
                <w:color w:val="000000"/>
                <w:sz w:val="21"/>
                <w:szCs w:val="21"/>
                <w:lang w:val="en-US" w:eastAsia="zh-CN" w:bidi="ar"/>
              </w:rPr>
              <w:t>1</w:t>
            </w:r>
            <w:r>
              <w:rPr>
                <w:rFonts w:ascii="宋体" w:hAnsi="宋体" w:eastAsia="宋体"/>
                <w:color w:val="00000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136"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超标状况</w:t>
            </w:r>
          </w:p>
          <w:p>
            <w:pPr>
              <w:spacing w:line="240" w:lineRule="auto"/>
              <w:ind w:firstLine="0"/>
              <w:jc w:val="center"/>
              <w:rPr>
                <w:rFonts w:ascii="宋体" w:hAnsi="宋体" w:eastAsia="宋体"/>
                <w:sz w:val="21"/>
                <w:szCs w:val="21"/>
              </w:rPr>
            </w:pPr>
            <w:r>
              <w:rPr>
                <w:rFonts w:ascii="宋体" w:hAnsi="宋体" w:eastAsia="宋体"/>
                <w:sz w:val="21"/>
                <w:szCs w:val="21"/>
                <w:lang w:bidi="ar"/>
              </w:rPr>
              <w:t>（超标最严重的污染因子）</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不足50%</w:t>
            </w:r>
          </w:p>
          <w:p>
            <w:pPr>
              <w:spacing w:line="240" w:lineRule="auto"/>
              <w:ind w:firstLine="0"/>
              <w:rPr>
                <w:rFonts w:ascii="宋体" w:hAnsi="宋体" w:eastAsia="宋体"/>
                <w:sz w:val="21"/>
                <w:szCs w:val="21"/>
              </w:rPr>
            </w:pPr>
            <w:r>
              <w:rPr>
                <w:rFonts w:ascii="宋体" w:hAnsi="宋体" w:eastAsia="宋体"/>
                <w:sz w:val="21"/>
                <w:szCs w:val="21"/>
                <w:lang w:bidi="ar"/>
              </w:rPr>
              <w:t>5.5≤pH＜6或9＜pH≤9.5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色度稀释倍数不足20倍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50%以上不足100%</w:t>
            </w:r>
          </w:p>
          <w:p>
            <w:pPr>
              <w:spacing w:line="240" w:lineRule="auto"/>
              <w:ind w:firstLine="0"/>
              <w:rPr>
                <w:rFonts w:ascii="宋体" w:hAnsi="宋体" w:eastAsia="宋体"/>
                <w:sz w:val="21"/>
                <w:szCs w:val="21"/>
              </w:rPr>
            </w:pPr>
            <w:r>
              <w:rPr>
                <w:rFonts w:ascii="宋体" w:hAnsi="宋体" w:eastAsia="宋体"/>
                <w:sz w:val="21"/>
                <w:szCs w:val="21"/>
                <w:lang w:bidi="ar"/>
              </w:rPr>
              <w:t>4.5≤pH＜5.5或9.5＜pH≤10.5</w:t>
            </w:r>
          </w:p>
          <w:p>
            <w:pPr>
              <w:spacing w:line="240" w:lineRule="auto"/>
              <w:ind w:firstLine="0"/>
              <w:rPr>
                <w:rFonts w:ascii="宋体" w:hAnsi="宋体" w:eastAsia="宋体"/>
                <w:sz w:val="21"/>
                <w:szCs w:val="21"/>
              </w:rPr>
            </w:pPr>
            <w:r>
              <w:rPr>
                <w:rFonts w:ascii="宋体" w:hAnsi="宋体" w:eastAsia="宋体"/>
                <w:sz w:val="21"/>
                <w:szCs w:val="21"/>
                <w:lang w:bidi="ar"/>
              </w:rPr>
              <w:t>色度稀释倍数20倍</w:t>
            </w:r>
            <w:r>
              <w:rPr>
                <w:rFonts w:hint="eastAsia" w:ascii="宋体" w:hAnsi="宋体" w:eastAsia="宋体"/>
                <w:sz w:val="21"/>
                <w:szCs w:val="21"/>
                <w:lang w:bidi="ar"/>
              </w:rPr>
              <w:t>以上</w:t>
            </w:r>
            <w:r>
              <w:rPr>
                <w:rFonts w:ascii="宋体" w:hAnsi="宋体" w:eastAsia="宋体"/>
                <w:sz w:val="21"/>
                <w:szCs w:val="21"/>
                <w:lang w:bidi="ar"/>
              </w:rPr>
              <w:t>不足40倍</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100%以上不足300%</w:t>
            </w:r>
          </w:p>
          <w:p>
            <w:pPr>
              <w:spacing w:line="240" w:lineRule="auto"/>
              <w:ind w:firstLine="0"/>
              <w:rPr>
                <w:rFonts w:ascii="宋体" w:hAnsi="宋体" w:eastAsia="宋体"/>
                <w:sz w:val="21"/>
                <w:szCs w:val="21"/>
              </w:rPr>
            </w:pPr>
            <w:r>
              <w:rPr>
                <w:rFonts w:ascii="宋体" w:hAnsi="宋体" w:eastAsia="宋体"/>
                <w:sz w:val="21"/>
                <w:szCs w:val="21"/>
                <w:lang w:bidi="ar"/>
              </w:rPr>
              <w:t>色度稀释倍数</w:t>
            </w:r>
            <w:r>
              <w:rPr>
                <w:rFonts w:hint="eastAsia" w:ascii="宋体" w:hAnsi="宋体" w:eastAsia="宋体"/>
                <w:sz w:val="21"/>
                <w:szCs w:val="21"/>
                <w:lang w:bidi="ar"/>
              </w:rPr>
              <w:t>4</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不足60倍</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300%以上不足500%</w:t>
            </w:r>
          </w:p>
          <w:p>
            <w:pPr>
              <w:spacing w:line="240" w:lineRule="auto"/>
              <w:ind w:firstLine="0"/>
              <w:rPr>
                <w:rFonts w:ascii="宋体" w:hAnsi="宋体" w:eastAsia="宋体"/>
                <w:sz w:val="21"/>
                <w:szCs w:val="21"/>
              </w:rPr>
            </w:pPr>
            <w:r>
              <w:rPr>
                <w:rFonts w:ascii="宋体" w:hAnsi="宋体" w:eastAsia="宋体"/>
                <w:sz w:val="21"/>
                <w:szCs w:val="21"/>
                <w:lang w:bidi="ar"/>
              </w:rPr>
              <w:t>3.5≤pH＜4.5或10.5＜pH≤11.5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w:t>
            </w:r>
            <w:r>
              <w:rPr>
                <w:rFonts w:hint="eastAsia" w:ascii="宋体" w:hAnsi="宋体" w:eastAsia="宋体"/>
                <w:sz w:val="21"/>
                <w:szCs w:val="21"/>
                <w:lang w:bidi="ar"/>
              </w:rPr>
              <w:t>6</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不足80倍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500%以上不足1000%</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w:t>
            </w:r>
            <w:r>
              <w:rPr>
                <w:rFonts w:hint="eastAsia" w:ascii="宋体" w:hAnsi="宋体" w:eastAsia="宋体"/>
                <w:sz w:val="21"/>
                <w:szCs w:val="21"/>
                <w:lang w:bidi="ar"/>
              </w:rPr>
              <w:t>8</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不足100倍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1000%以上</w:t>
            </w:r>
          </w:p>
          <w:p>
            <w:pPr>
              <w:spacing w:line="240" w:lineRule="auto"/>
              <w:ind w:firstLine="0"/>
              <w:rPr>
                <w:rFonts w:ascii="宋体" w:hAnsi="宋体" w:eastAsia="宋体"/>
                <w:sz w:val="21"/>
                <w:szCs w:val="21"/>
              </w:rPr>
            </w:pPr>
            <w:r>
              <w:rPr>
                <w:rFonts w:ascii="宋体" w:hAnsi="宋体" w:eastAsia="宋体"/>
                <w:sz w:val="21"/>
                <w:szCs w:val="21"/>
                <w:lang w:bidi="ar"/>
              </w:rPr>
              <w:t>pH＜3.5或pH＞11.5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色度稀释倍数100倍以上</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日排放量</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不足10吨（一般排污单位）</w:t>
            </w:r>
          </w:p>
          <w:p>
            <w:pPr>
              <w:spacing w:line="240" w:lineRule="auto"/>
              <w:ind w:firstLine="0"/>
              <w:rPr>
                <w:rFonts w:ascii="宋体" w:hAnsi="宋体" w:eastAsia="宋体"/>
                <w:sz w:val="21"/>
                <w:szCs w:val="21"/>
              </w:rPr>
            </w:pPr>
            <w:r>
              <w:rPr>
                <w:rFonts w:ascii="宋体" w:hAnsi="宋体" w:eastAsia="宋体"/>
                <w:sz w:val="21"/>
                <w:szCs w:val="21"/>
              </w:rPr>
              <w:t>不足5万吨（城镇污水处理厂）</w:t>
            </w:r>
          </w:p>
          <w:p>
            <w:pPr>
              <w:spacing w:line="240" w:lineRule="auto"/>
              <w:ind w:firstLine="0"/>
              <w:rPr>
                <w:rFonts w:ascii="宋体" w:hAnsi="宋体" w:eastAsia="宋体"/>
                <w:sz w:val="21"/>
                <w:szCs w:val="21"/>
              </w:rPr>
            </w:pPr>
            <w:r>
              <w:rPr>
                <w:rFonts w:ascii="宋体" w:hAnsi="宋体" w:eastAsia="宋体"/>
                <w:sz w:val="21"/>
                <w:szCs w:val="21"/>
              </w:rPr>
              <w:t>不足2000吨（工业污水处理厂）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10吨以上不足100吨（一般排污单位）</w:t>
            </w:r>
          </w:p>
          <w:p>
            <w:pPr>
              <w:spacing w:line="240" w:lineRule="auto"/>
              <w:ind w:firstLine="0"/>
              <w:rPr>
                <w:rFonts w:ascii="宋体" w:hAnsi="宋体" w:eastAsia="宋体"/>
                <w:sz w:val="21"/>
                <w:szCs w:val="21"/>
              </w:rPr>
            </w:pPr>
            <w:r>
              <w:rPr>
                <w:rFonts w:ascii="宋体" w:hAnsi="宋体" w:eastAsia="宋体"/>
                <w:sz w:val="21"/>
                <w:szCs w:val="21"/>
              </w:rPr>
              <w:t>5万吨以上不足10万吨（城镇污水处理厂）</w:t>
            </w:r>
          </w:p>
          <w:p>
            <w:pPr>
              <w:spacing w:line="240" w:lineRule="auto"/>
              <w:ind w:firstLine="0"/>
              <w:rPr>
                <w:rFonts w:ascii="宋体" w:hAnsi="宋体" w:eastAsia="宋体"/>
                <w:sz w:val="21"/>
                <w:szCs w:val="21"/>
              </w:rPr>
            </w:pPr>
            <w:r>
              <w:rPr>
                <w:rFonts w:ascii="宋体" w:hAnsi="宋体" w:eastAsia="宋体"/>
                <w:sz w:val="21"/>
                <w:szCs w:val="21"/>
              </w:rPr>
              <w:t>2000吨以上不足5000吨（工业污水处理厂）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100吨以上不足500吨（一般排污单位）</w:t>
            </w:r>
          </w:p>
          <w:p>
            <w:pPr>
              <w:spacing w:line="240" w:lineRule="auto"/>
              <w:ind w:firstLine="0"/>
              <w:rPr>
                <w:rFonts w:ascii="宋体" w:hAnsi="宋体" w:eastAsia="宋体"/>
                <w:sz w:val="21"/>
                <w:szCs w:val="21"/>
              </w:rPr>
            </w:pPr>
            <w:r>
              <w:rPr>
                <w:rFonts w:ascii="宋体" w:hAnsi="宋体" w:eastAsia="宋体"/>
                <w:sz w:val="21"/>
                <w:szCs w:val="21"/>
              </w:rPr>
              <w:t>10万吨以上不足20万吨（城镇污水处理厂）</w:t>
            </w:r>
          </w:p>
          <w:p>
            <w:pPr>
              <w:spacing w:line="240" w:lineRule="auto"/>
              <w:ind w:firstLine="0"/>
              <w:rPr>
                <w:rFonts w:ascii="宋体" w:hAnsi="宋体" w:eastAsia="宋体"/>
                <w:sz w:val="21"/>
                <w:szCs w:val="21"/>
              </w:rPr>
            </w:pPr>
            <w:r>
              <w:rPr>
                <w:rFonts w:ascii="宋体" w:hAnsi="宋体" w:eastAsia="宋体"/>
                <w:sz w:val="21"/>
                <w:szCs w:val="21"/>
              </w:rPr>
              <w:t>5000吨以上不足1万吨（工业污水处理厂）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500吨以上不足1000吨（一般排污单位）</w:t>
            </w:r>
          </w:p>
          <w:p>
            <w:pPr>
              <w:spacing w:line="240" w:lineRule="auto"/>
              <w:ind w:firstLine="0"/>
              <w:rPr>
                <w:rFonts w:ascii="宋体" w:hAnsi="宋体" w:eastAsia="宋体"/>
                <w:sz w:val="21"/>
                <w:szCs w:val="21"/>
              </w:rPr>
            </w:pPr>
            <w:r>
              <w:rPr>
                <w:rFonts w:ascii="宋体" w:hAnsi="宋体" w:eastAsia="宋体"/>
                <w:sz w:val="21"/>
                <w:szCs w:val="21"/>
              </w:rPr>
              <w:t>20万吨以上不50万吨（城镇污水处理厂）</w:t>
            </w:r>
          </w:p>
          <w:p>
            <w:pPr>
              <w:spacing w:line="240" w:lineRule="auto"/>
              <w:ind w:firstLine="0"/>
              <w:rPr>
                <w:rFonts w:ascii="宋体" w:hAnsi="宋体" w:eastAsia="宋体"/>
                <w:sz w:val="21"/>
                <w:szCs w:val="21"/>
              </w:rPr>
            </w:pPr>
            <w:r>
              <w:rPr>
                <w:rFonts w:ascii="宋体" w:hAnsi="宋体" w:eastAsia="宋体"/>
                <w:sz w:val="21"/>
                <w:szCs w:val="21"/>
              </w:rPr>
              <w:t>1万吨以上不足5万吨（工业污水处理厂）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1000吨以上（一般排污单位）</w:t>
            </w:r>
          </w:p>
          <w:p>
            <w:pPr>
              <w:spacing w:line="240" w:lineRule="auto"/>
              <w:ind w:firstLine="0"/>
              <w:rPr>
                <w:rFonts w:ascii="宋体" w:hAnsi="宋体" w:eastAsia="宋体"/>
                <w:sz w:val="21"/>
                <w:szCs w:val="21"/>
              </w:rPr>
            </w:pPr>
            <w:r>
              <w:rPr>
                <w:rFonts w:ascii="宋体" w:hAnsi="宋体" w:eastAsia="宋体"/>
                <w:sz w:val="21"/>
                <w:szCs w:val="21"/>
              </w:rPr>
              <w:t>50万吨以上（城镇污水处理厂）</w:t>
            </w:r>
          </w:p>
          <w:p>
            <w:pPr>
              <w:spacing w:line="240" w:lineRule="auto"/>
              <w:ind w:firstLine="0"/>
              <w:rPr>
                <w:rFonts w:ascii="宋体" w:hAnsi="宋体" w:eastAsia="宋体"/>
                <w:sz w:val="21"/>
                <w:szCs w:val="21"/>
              </w:rPr>
            </w:pPr>
            <w:r>
              <w:rPr>
                <w:rFonts w:ascii="宋体" w:hAnsi="宋体" w:eastAsia="宋体"/>
                <w:sz w:val="21"/>
                <w:szCs w:val="21"/>
              </w:rPr>
              <w:t>5万吨以上（工业污水处理厂）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排放去向</w:t>
            </w: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Ⅴ</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Ⅳ</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Ⅲ</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Ⅱ</w:t>
            </w:r>
            <w:r>
              <w:rPr>
                <w:rFonts w:ascii="宋体" w:hAnsi="宋体" w:eastAsia="宋体"/>
                <w:sz w:val="21"/>
                <w:szCs w:val="21"/>
              </w:rPr>
              <w:t>类/</w:t>
            </w:r>
            <w:r>
              <w:rPr>
                <w:rFonts w:hint="eastAsia" w:ascii="宋体" w:hAnsi="宋体" w:eastAsia="宋体" w:cs="宋体"/>
                <w:sz w:val="21"/>
                <w:szCs w:val="21"/>
              </w:rPr>
              <w:t>Ⅰ</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饮用水水源保护区</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424"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2</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3次</w:t>
            </w:r>
          </w:p>
        </w:tc>
        <w:tc>
          <w:tcPr>
            <w:tcW w:w="1424"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4</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24"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val="en-US" w:eastAsia="zh-CN"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21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12"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b/>
                <w:bCs/>
                <w:sz w:val="21"/>
                <w:szCs w:val="21"/>
              </w:rPr>
            </w:pPr>
          </w:p>
        </w:tc>
        <w:tc>
          <w:tcPr>
            <w:tcW w:w="2136" w:type="dxa"/>
            <w:vMerge w:val="continue"/>
            <w:vAlign w:val="center"/>
          </w:tcPr>
          <w:p>
            <w:pPr>
              <w:spacing w:line="240" w:lineRule="auto"/>
              <w:ind w:firstLine="0" w:firstLineChars="0"/>
              <w:jc w:val="center"/>
              <w:rPr>
                <w:rFonts w:ascii="宋体" w:hAnsi="宋体" w:eastAsia="宋体"/>
                <w:sz w:val="21"/>
                <w:szCs w:val="21"/>
              </w:rPr>
            </w:pPr>
          </w:p>
        </w:tc>
        <w:tc>
          <w:tcPr>
            <w:tcW w:w="4612"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24"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3</w:t>
            </w:r>
            <w:r>
              <w:rPr>
                <w:rFonts w:ascii="宋体" w:hAnsi="宋体" w:eastAsia="宋体"/>
                <w:sz w:val="21"/>
                <w:szCs w:val="21"/>
              </w:rPr>
              <w:t>%</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w:t>
      </w:r>
      <w:r>
        <w:rPr>
          <w:rFonts w:hint="eastAsia" w:ascii="宋体" w:hAnsi="宋体" w:eastAsia="宋体"/>
          <w:sz w:val="21"/>
          <w:szCs w:val="21"/>
        </w:rPr>
        <w:t>《排污许可管理条例》第三十四条</w:t>
      </w:r>
      <w:r>
        <w:rPr>
          <w:rFonts w:ascii="宋体" w:hAnsi="宋体" w:eastAsia="宋体"/>
          <w:sz w:val="21"/>
          <w:szCs w:val="21"/>
        </w:rPr>
        <w:t>规定的“</w:t>
      </w:r>
      <w:r>
        <w:rPr>
          <w:rFonts w:hint="eastAsia" w:ascii="宋体" w:hAnsi="宋体" w:eastAsia="宋体"/>
          <w:sz w:val="21"/>
          <w:szCs w:val="21"/>
        </w:rPr>
        <w:t>违反本条例规定，排污单位有下列行为之一的，由生态环境主管部门责令改正或者限制生产、停产整治，处20万元以上100万元以下的罚款；情节严重的，吊销排污许可证，报经有批准权的人民政府批准，责令停业、关闭：（一）超过许可排放浓度、许可排放量排放污染物；</w:t>
      </w:r>
      <w:r>
        <w:rPr>
          <w:rFonts w:ascii="宋体" w:hAnsi="宋体" w:eastAsia="宋体"/>
          <w:sz w:val="21"/>
          <w:szCs w:val="21"/>
        </w:rPr>
        <w:t>”情形。</w:t>
      </w:r>
    </w:p>
    <w:p>
      <w:pPr>
        <w:spacing w:line="240" w:lineRule="auto"/>
        <w:ind w:firstLine="420" w:firstLineChars="200"/>
        <w:rPr>
          <w:rFonts w:ascii="宋体" w:hAnsi="宋体" w:eastAsia="宋体"/>
          <w:sz w:val="21"/>
          <w:szCs w:val="21"/>
        </w:rPr>
      </w:pPr>
      <w:r>
        <w:rPr>
          <w:rFonts w:ascii="宋体" w:hAnsi="宋体" w:eastAsia="宋体"/>
          <w:sz w:val="21"/>
          <w:szCs w:val="21"/>
        </w:rPr>
        <w:t>2、超标状况是指对于同一排放口，选取超标倍数最大的污染因子。</w:t>
      </w:r>
    </w:p>
    <w:p>
      <w:pPr>
        <w:spacing w:line="240" w:lineRule="auto"/>
        <w:ind w:firstLine="420" w:firstLineChars="200"/>
        <w:rPr>
          <w:rFonts w:ascii="宋体" w:hAnsi="宋体" w:eastAsia="宋体"/>
          <w:sz w:val="21"/>
          <w:szCs w:val="21"/>
        </w:rPr>
      </w:pPr>
      <w:r>
        <w:rPr>
          <w:rFonts w:ascii="宋体" w:hAnsi="宋体" w:eastAsia="宋体"/>
          <w:sz w:val="21"/>
          <w:szCs w:val="21"/>
        </w:rPr>
        <w:t>3、日排放量是指企业当日排水量，一般以在线监测数据为准；如没有在线监测数据的，按照物料衡算法进行计算。</w:t>
      </w:r>
    </w:p>
    <w:p>
      <w:pPr>
        <w:spacing w:line="240" w:lineRule="auto"/>
        <w:ind w:firstLine="420" w:firstLineChars="200"/>
        <w:rPr>
          <w:rFonts w:ascii="宋体" w:hAnsi="宋体" w:eastAsia="宋体"/>
          <w:sz w:val="21"/>
          <w:szCs w:val="21"/>
        </w:rPr>
      </w:pPr>
      <w:r>
        <w:rPr>
          <w:rFonts w:ascii="宋体" w:hAnsi="宋体" w:eastAsia="宋体"/>
          <w:sz w:val="21"/>
          <w:szCs w:val="21"/>
        </w:rPr>
        <w:t>4、饮用水水源保护区如涉及上述水体类别时，选择裁量百分值较重的类别进行裁量。</w:t>
      </w:r>
    </w:p>
    <w:p>
      <w:pPr>
        <w:spacing w:line="240" w:lineRule="auto"/>
        <w:ind w:firstLine="420" w:firstLineChars="200"/>
        <w:rPr>
          <w:rFonts w:ascii="宋体" w:hAnsi="宋体" w:eastAsia="宋体"/>
          <w:sz w:val="21"/>
          <w:szCs w:val="21"/>
        </w:rPr>
      </w:pPr>
      <w:r>
        <w:rPr>
          <w:rFonts w:ascii="宋体" w:hAnsi="宋体" w:eastAsia="宋体"/>
          <w:sz w:val="21"/>
          <w:szCs w:val="21"/>
        </w:rPr>
        <w:t>5、本表所称的“以上”包括本数，“不足”“以内”不包括本数。</w:t>
      </w:r>
    </w:p>
    <w:p>
      <w:pPr>
        <w:spacing w:line="240" w:lineRule="auto"/>
        <w:ind w:firstLine="420" w:firstLineChars="200"/>
        <w:outlineLvl w:val="9"/>
        <w:rPr>
          <w:rFonts w:ascii="宋体" w:hAnsi="宋体" w:eastAsia="宋体"/>
          <w:sz w:val="21"/>
          <w:szCs w:val="21"/>
        </w:rPr>
      </w:pPr>
      <w:r>
        <w:rPr>
          <w:rFonts w:ascii="宋体" w:hAnsi="宋体" w:eastAsia="宋体"/>
          <w:sz w:val="21"/>
          <w:szCs w:val="21"/>
        </w:rPr>
        <w:t>6、环境违法次数（两年内、含本次）指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bidi="ar"/>
        </w:rPr>
        <w:t>7、</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8</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outlineLvl w:val="9"/>
        <w:rPr>
          <w:rFonts w:ascii="宋体" w:hAnsi="宋体" w:eastAsia="宋体"/>
          <w:sz w:val="21"/>
          <w:szCs w:val="21"/>
        </w:rPr>
      </w:pPr>
    </w:p>
    <w:p>
      <w:pPr>
        <w:spacing w:line="240" w:lineRule="auto"/>
        <w:ind w:firstLine="420" w:firstLineChars="200"/>
        <w:outlineLvl w:val="9"/>
        <w:rPr>
          <w:rFonts w:ascii="宋体" w:hAnsi="宋体" w:eastAsia="宋体"/>
          <w:sz w:val="21"/>
          <w:szCs w:val="21"/>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 xml:space="preserve">表3-4  </w:t>
      </w:r>
      <w:r>
        <w:rPr>
          <w:rFonts w:hint="eastAsia" w:ascii="华文仿宋" w:hAnsi="华文仿宋" w:eastAsia="华文仿宋" w:cs="华文仿宋"/>
          <w:sz w:val="28"/>
          <w:szCs w:val="18"/>
        </w:rPr>
        <w:t>超过许可浓度排放污染物</w:t>
      </w:r>
      <w:r>
        <w:rPr>
          <w:rFonts w:hint="eastAsia" w:ascii="华文仿宋" w:hAnsi="华文仿宋" w:eastAsia="华文仿宋" w:cs="华文仿宋"/>
          <w:sz w:val="28"/>
          <w:szCs w:val="18"/>
          <w:lang w:eastAsia="zh-CN"/>
        </w:rPr>
        <w:t>（</w:t>
      </w:r>
      <w:r>
        <w:rPr>
          <w:rFonts w:hint="eastAsia" w:ascii="华文仿宋" w:hAnsi="华文仿宋" w:eastAsia="华文仿宋" w:cs="华文仿宋"/>
          <w:sz w:val="28"/>
          <w:szCs w:val="18"/>
          <w:lang w:val="en-US" w:eastAsia="zh-CN"/>
        </w:rPr>
        <w:t>气</w:t>
      </w:r>
      <w:r>
        <w:rPr>
          <w:rFonts w:hint="eastAsia" w:ascii="华文仿宋" w:hAnsi="华文仿宋" w:eastAsia="华文仿宋" w:cs="华文仿宋"/>
          <w:sz w:val="28"/>
          <w:szCs w:val="18"/>
          <w:lang w:eastAsia="zh-CN"/>
        </w:rPr>
        <w:t>）</w:t>
      </w:r>
      <w:r>
        <w:rPr>
          <w:rFonts w:hint="eastAsia" w:ascii="华文仿宋" w:hAnsi="华文仿宋" w:eastAsia="华文仿宋" w:cs="华文仿宋"/>
          <w:snapToGrid w:val="0"/>
          <w:sz w:val="28"/>
          <w:szCs w:val="18"/>
          <w:lang w:val="en-US" w:eastAsia="zh-CN" w:bidi="ar-SA"/>
        </w:rPr>
        <w:t>的裁量标准</w:t>
      </w:r>
    </w:p>
    <w:tbl>
      <w:tblPr>
        <w:tblStyle w:val="9"/>
        <w:tblW w:w="8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823"/>
        <w:gridCol w:w="4695"/>
        <w:gridCol w:w="1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8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182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69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0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03"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506" w:type="dxa"/>
            <w:vAlign w:val="center"/>
          </w:tcPr>
          <w:p>
            <w:pPr>
              <w:spacing w:line="240" w:lineRule="auto"/>
              <w:ind w:firstLine="0"/>
              <w:jc w:val="center"/>
              <w:rPr>
                <w:rFonts w:ascii="宋体" w:hAnsi="宋体" w:eastAsia="宋体"/>
                <w:b/>
                <w:bCs/>
                <w:sz w:val="21"/>
                <w:szCs w:val="21"/>
              </w:rPr>
            </w:pPr>
            <w:r>
              <w:rPr>
                <w:rFonts w:hint="eastAsia" w:ascii="宋体" w:hAnsi="宋体" w:eastAsia="宋体"/>
                <w:sz w:val="21"/>
                <w:szCs w:val="21"/>
                <w:lang w:val="en-US" w:eastAsia="zh-CN"/>
              </w:rPr>
              <w:t>2</w:t>
            </w: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数目</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1个</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2个</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3个以上</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种类</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除有毒有害大气污染物之外的大气污染物</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有毒有害大气污染物</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50" w:hRule="atLeast"/>
          <w:jc w:val="center"/>
        </w:trPr>
        <w:tc>
          <w:tcPr>
            <w:tcW w:w="88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3</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超标状况</w:t>
            </w:r>
          </w:p>
          <w:p>
            <w:pPr>
              <w:spacing w:line="240" w:lineRule="auto"/>
              <w:ind w:firstLine="0"/>
              <w:jc w:val="center"/>
              <w:rPr>
                <w:rFonts w:ascii="宋体" w:hAnsi="宋体" w:eastAsia="宋体"/>
                <w:sz w:val="21"/>
                <w:szCs w:val="21"/>
              </w:rPr>
            </w:pPr>
            <w:r>
              <w:rPr>
                <w:rFonts w:ascii="宋体" w:hAnsi="宋体" w:eastAsia="宋体"/>
                <w:sz w:val="21"/>
                <w:szCs w:val="21"/>
              </w:rPr>
              <w:t>（超标最严重的污染因子）</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超过污染物排放标准不足50%</w:t>
            </w:r>
          </w:p>
          <w:p>
            <w:pPr>
              <w:spacing w:line="240" w:lineRule="auto"/>
              <w:ind w:firstLine="0"/>
              <w:rPr>
                <w:rFonts w:ascii="宋体" w:hAnsi="宋体" w:eastAsia="宋体"/>
                <w:sz w:val="21"/>
                <w:szCs w:val="21"/>
              </w:rPr>
            </w:pPr>
            <w:r>
              <w:rPr>
                <w:rFonts w:ascii="宋体" w:hAnsi="宋体" w:eastAsia="宋体"/>
                <w:sz w:val="21"/>
                <w:szCs w:val="21"/>
              </w:rPr>
              <w:t>林格曼黑度1级</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超过污染物排放标准50%以上不足100%</w:t>
            </w:r>
          </w:p>
          <w:p>
            <w:pPr>
              <w:spacing w:line="240" w:lineRule="auto"/>
              <w:ind w:firstLine="0"/>
              <w:rPr>
                <w:rFonts w:ascii="宋体" w:hAnsi="宋体" w:eastAsia="宋体"/>
                <w:sz w:val="21"/>
                <w:szCs w:val="21"/>
              </w:rPr>
            </w:pPr>
            <w:r>
              <w:rPr>
                <w:rFonts w:ascii="宋体" w:hAnsi="宋体" w:eastAsia="宋体"/>
                <w:sz w:val="21"/>
                <w:szCs w:val="21"/>
              </w:rPr>
              <w:t>林格曼黑度2级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超过污染物排放标准100%以上不足300%</w:t>
            </w:r>
          </w:p>
          <w:p>
            <w:pPr>
              <w:spacing w:line="240" w:lineRule="auto"/>
              <w:ind w:firstLine="0"/>
              <w:rPr>
                <w:rFonts w:ascii="宋体" w:hAnsi="宋体" w:eastAsia="宋体"/>
                <w:sz w:val="21"/>
                <w:szCs w:val="21"/>
              </w:rPr>
            </w:pPr>
            <w:r>
              <w:rPr>
                <w:rFonts w:ascii="宋体" w:hAnsi="宋体" w:eastAsia="宋体"/>
                <w:sz w:val="21"/>
                <w:szCs w:val="21"/>
              </w:rPr>
              <w:t>林格曼黑度3级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超过污染物排放标准300%以上不足500%</w:t>
            </w:r>
          </w:p>
          <w:p>
            <w:pPr>
              <w:spacing w:line="240" w:lineRule="auto"/>
              <w:ind w:firstLine="0"/>
              <w:rPr>
                <w:rFonts w:ascii="宋体" w:hAnsi="宋体" w:eastAsia="宋体"/>
                <w:sz w:val="21"/>
                <w:szCs w:val="21"/>
              </w:rPr>
            </w:pPr>
            <w:r>
              <w:rPr>
                <w:rFonts w:ascii="宋体" w:hAnsi="宋体" w:eastAsia="宋体"/>
                <w:sz w:val="21"/>
                <w:szCs w:val="21"/>
              </w:rPr>
              <w:t>林格曼黑度4级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50"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超标500%以上</w:t>
            </w:r>
          </w:p>
          <w:p>
            <w:pPr>
              <w:spacing w:line="240" w:lineRule="auto"/>
              <w:ind w:firstLine="0"/>
              <w:rPr>
                <w:rFonts w:ascii="宋体" w:hAnsi="宋体" w:eastAsia="宋体"/>
                <w:sz w:val="21"/>
                <w:szCs w:val="21"/>
              </w:rPr>
            </w:pPr>
            <w:r>
              <w:rPr>
                <w:rFonts w:ascii="宋体" w:hAnsi="宋体" w:eastAsia="宋体"/>
                <w:sz w:val="21"/>
                <w:szCs w:val="21"/>
              </w:rPr>
              <w:t>林格曼黑度5级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小时排气流量</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不足1000标立方米</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1000标立方米以上不足1万标立方米</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1万标立方米以上不足5万标立方米</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5万标立方米以上不足10万标立方米</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10万标立方米以上</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排放区域</w:t>
            </w: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二类功能区（工业区）</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二类功能区（居民区、商业交通居民混合区、文化区、农村地区）</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一类功能区</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大气超标排放时期敏感度</w:t>
            </w: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一般期间</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特殊或重大活动期间</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重污染天气预警期间</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506"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bidi="ar"/>
              </w:rPr>
              <w:t>2</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1506"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val="en-US" w:eastAsia="zh-CN" w:bidi="ar"/>
              </w:rPr>
              <w:t>4</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06"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val="en-US" w:eastAsia="zh-CN"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c>
          <w:tcPr>
            <w:tcW w:w="1823"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95"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506"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firstLineChars="0"/>
              <w:jc w:val="center"/>
              <w:rPr>
                <w:rFonts w:ascii="宋体" w:hAnsi="宋体" w:eastAsia="宋体"/>
                <w:sz w:val="21"/>
                <w:szCs w:val="21"/>
              </w:rPr>
            </w:pPr>
          </w:p>
        </w:tc>
        <w:tc>
          <w:tcPr>
            <w:tcW w:w="4695" w:type="dxa"/>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506"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sz w:val="21"/>
                <w:szCs w:val="21"/>
                <w:lang w:val="en-US" w:eastAsia="zh-CN" w:bidi="ar"/>
              </w:rPr>
              <w:t>3</w:t>
            </w:r>
            <w:r>
              <w:rPr>
                <w:rFonts w:ascii="宋体" w:hAnsi="宋体" w:eastAsia="宋体"/>
                <w:sz w:val="21"/>
                <w:szCs w:val="21"/>
                <w:lang w:bidi="ar"/>
              </w:rPr>
              <w:t>%</w:t>
            </w:r>
          </w:p>
        </w:tc>
      </w:tr>
    </w:tbl>
    <w:p>
      <w:pPr>
        <w:spacing w:line="240" w:lineRule="auto"/>
        <w:ind w:firstLine="420" w:firstLineChars="200"/>
        <w:rPr>
          <w:rFonts w:hint="eastAsia" w:ascii="宋体" w:hAnsi="宋体" w:eastAsia="宋体"/>
          <w:sz w:val="21"/>
          <w:szCs w:val="21"/>
          <w:lang w:eastAsia="zh-CN"/>
        </w:rPr>
      </w:pPr>
      <w:r>
        <w:rPr>
          <w:rFonts w:ascii="宋体" w:hAnsi="宋体" w:eastAsia="宋体"/>
          <w:sz w:val="21"/>
          <w:szCs w:val="21"/>
        </w:rPr>
        <w:t>注：1、本表适用于《</w:t>
      </w:r>
      <w:r>
        <w:rPr>
          <w:rFonts w:hint="eastAsia" w:ascii="宋体" w:hAnsi="宋体" w:eastAsia="宋体"/>
          <w:sz w:val="21"/>
          <w:szCs w:val="21"/>
        </w:rPr>
        <w:t>排污许可管理条例</w:t>
      </w:r>
      <w:r>
        <w:rPr>
          <w:rFonts w:ascii="宋体" w:hAnsi="宋体" w:eastAsia="宋体"/>
          <w:sz w:val="21"/>
          <w:szCs w:val="21"/>
        </w:rPr>
        <w:t>》</w:t>
      </w:r>
      <w:r>
        <w:rPr>
          <w:rFonts w:hint="eastAsia" w:ascii="宋体" w:hAnsi="宋体" w:eastAsia="宋体"/>
          <w:sz w:val="21"/>
          <w:szCs w:val="21"/>
        </w:rPr>
        <w:t>第三十五条</w:t>
      </w:r>
      <w:r>
        <w:rPr>
          <w:rFonts w:hint="eastAsia" w:ascii="宋体" w:hAnsi="宋体" w:eastAsia="宋体"/>
          <w:sz w:val="21"/>
          <w:szCs w:val="21"/>
          <w:lang w:val="en-US" w:eastAsia="zh-CN"/>
        </w:rPr>
        <w:t>规定的“</w:t>
      </w:r>
      <w:r>
        <w:rPr>
          <w:rFonts w:hint="eastAsia" w:ascii="宋体" w:hAnsi="宋体" w:eastAsia="宋体"/>
          <w:sz w:val="21"/>
          <w:szCs w:val="21"/>
        </w:rPr>
        <w:t>违反本条例规定，排污单位有下列行为之一的，由生态环境主管部门责令改正，处5万元以上20万元以下的罚款；情节严重的，处20万元以上100万元以下的罚款，责令限制生产、停产整治：（一）未按照排污许可证规定控制大气污染物无组织排放；（二）特殊时段未按照排污许可证规定停止或者限制排放污染物。</w:t>
      </w:r>
      <w:r>
        <w:rPr>
          <w:rFonts w:ascii="宋体" w:hAnsi="宋体" w:eastAsia="宋体"/>
          <w:sz w:val="21"/>
          <w:szCs w:val="21"/>
        </w:rPr>
        <w:t>”</w:t>
      </w:r>
      <w:r>
        <w:rPr>
          <w:rFonts w:hint="eastAsia" w:ascii="宋体" w:hAnsi="宋体" w:eastAsia="宋体"/>
          <w:sz w:val="21"/>
          <w:szCs w:val="21"/>
          <w:lang w:val="en-US" w:eastAsia="zh-CN"/>
        </w:rPr>
        <w:t>情形</w:t>
      </w:r>
      <w:r>
        <w:rPr>
          <w:rFonts w:hint="eastAsia" w:ascii="宋体" w:hAnsi="宋体" w:eastAsia="宋体"/>
          <w:sz w:val="21"/>
          <w:szCs w:val="21"/>
          <w:lang w:eastAsia="zh-CN"/>
        </w:rPr>
        <w:t>。</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本表不适用于企业厂区内及厂界大气污染物超标的情形。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超标状况是指对于同一排放口，选取超标倍数最大的污染因子。</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小时排气流量数据以环境监测（检测）报告为准。</w:t>
      </w:r>
    </w:p>
    <w:p>
      <w:pPr>
        <w:spacing w:line="240" w:lineRule="auto"/>
        <w:ind w:firstLine="420" w:firstLineChars="200"/>
        <w:rPr>
          <w:rFonts w:ascii="宋体" w:hAnsi="宋体" w:eastAsia="宋体"/>
          <w:sz w:val="21"/>
          <w:szCs w:val="21"/>
        </w:rPr>
      </w:pPr>
      <w:r>
        <w:rPr>
          <w:rFonts w:hint="eastAsia" w:ascii="宋体" w:hAnsi="宋体" w:eastAsia="宋体"/>
          <w:sz w:val="21"/>
          <w:szCs w:val="21"/>
        </w:rPr>
        <w:t>5、</w:t>
      </w:r>
      <w:r>
        <w:rPr>
          <w:rFonts w:ascii="宋体" w:hAnsi="宋体" w:eastAsia="宋体"/>
          <w:sz w:val="21"/>
          <w:szCs w:val="21"/>
        </w:rPr>
        <w:t>一类功能区、二类功能区的划分按照《环境空气质量标准（GB3095-2012）》的规定执行。</w:t>
      </w:r>
    </w:p>
    <w:p>
      <w:pPr>
        <w:spacing w:line="240" w:lineRule="auto"/>
        <w:ind w:firstLine="420" w:firstLineChars="200"/>
        <w:rPr>
          <w:rFonts w:ascii="宋体" w:hAnsi="宋体" w:eastAsia="宋体"/>
          <w:sz w:val="21"/>
          <w:szCs w:val="21"/>
        </w:rPr>
      </w:pPr>
      <w:r>
        <w:rPr>
          <w:rFonts w:hint="eastAsia" w:ascii="宋体" w:hAnsi="宋体" w:eastAsia="宋体"/>
          <w:sz w:val="21"/>
          <w:szCs w:val="21"/>
        </w:rPr>
        <w:t>6、</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7、</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8</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9</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outlineLvl w:val="9"/>
        <w:rPr>
          <w:rFonts w:ascii="宋体" w:hAnsi="宋体" w:eastAsia="宋体"/>
          <w:sz w:val="21"/>
          <w:szCs w:val="21"/>
        </w:rPr>
      </w:pPr>
    </w:p>
    <w:p>
      <w:pPr>
        <w:spacing w:line="240" w:lineRule="auto"/>
        <w:ind w:firstLine="420" w:firstLineChars="200"/>
        <w:outlineLvl w:val="9"/>
        <w:rPr>
          <w:rFonts w:ascii="宋体" w:hAnsi="宋体" w:eastAsia="宋体"/>
          <w:sz w:val="21"/>
          <w:szCs w:val="21"/>
        </w:rPr>
      </w:pPr>
    </w:p>
    <w:p>
      <w:pPr>
        <w:spacing w:line="240" w:lineRule="auto"/>
        <w:ind w:firstLine="420" w:firstLineChars="200"/>
        <w:outlineLvl w:val="9"/>
        <w:rPr>
          <w:rFonts w:ascii="宋体" w:hAnsi="宋体" w:eastAsia="宋体"/>
          <w:sz w:val="21"/>
          <w:szCs w:val="21"/>
        </w:rPr>
      </w:pPr>
    </w:p>
    <w:p>
      <w:pPr>
        <w:spacing w:line="240" w:lineRule="auto"/>
        <w:ind w:firstLine="420" w:firstLineChars="200"/>
        <w:outlineLvl w:val="9"/>
        <w:rPr>
          <w:rFonts w:ascii="宋体" w:hAnsi="宋体" w:eastAsia="宋体"/>
          <w:sz w:val="21"/>
          <w:szCs w:val="21"/>
        </w:rPr>
      </w:pPr>
    </w:p>
    <w:p>
      <w:pPr>
        <w:spacing w:line="240" w:lineRule="auto"/>
        <w:ind w:firstLine="420" w:firstLineChars="200"/>
        <w:outlineLvl w:val="9"/>
        <w:rPr>
          <w:rFonts w:ascii="宋体" w:hAnsi="宋体" w:eastAsia="宋体"/>
          <w:sz w:val="21"/>
          <w:szCs w:val="21"/>
        </w:rPr>
      </w:pPr>
    </w:p>
    <w:p>
      <w:pPr>
        <w:spacing w:line="240" w:lineRule="auto"/>
        <w:ind w:firstLine="420" w:firstLineChars="200"/>
        <w:outlineLvl w:val="9"/>
        <w:rPr>
          <w:rFonts w:ascii="宋体" w:hAnsi="宋体" w:eastAsia="宋体"/>
          <w:sz w:val="21"/>
          <w:szCs w:val="21"/>
        </w:rPr>
      </w:pPr>
    </w:p>
    <w:p>
      <w:pPr>
        <w:spacing w:line="240" w:lineRule="auto"/>
        <w:ind w:firstLine="642" w:firstLineChars="200"/>
        <w:outlineLvl w:val="9"/>
        <w:rPr>
          <w:rFonts w:eastAsia="方正楷体_GBK"/>
          <w:b/>
          <w:bCs w:val="0"/>
          <w:szCs w:val="32"/>
        </w:rPr>
      </w:pPr>
    </w:p>
    <w:p>
      <w:pPr>
        <w:spacing w:line="240" w:lineRule="auto"/>
        <w:ind w:firstLine="642" w:firstLineChars="200"/>
        <w:outlineLvl w:val="9"/>
        <w:rPr>
          <w:rFonts w:eastAsia="方正楷体_GBK"/>
          <w:b/>
          <w:bCs w:val="0"/>
          <w:szCs w:val="32"/>
        </w:rPr>
      </w:pPr>
    </w:p>
    <w:p>
      <w:pPr>
        <w:spacing w:line="240" w:lineRule="auto"/>
        <w:ind w:firstLine="642" w:firstLineChars="200"/>
        <w:outlineLvl w:val="9"/>
        <w:rPr>
          <w:rFonts w:eastAsia="方正楷体_GBK"/>
          <w:b/>
          <w:bCs w:val="0"/>
          <w:szCs w:val="32"/>
        </w:rPr>
      </w:pPr>
    </w:p>
    <w:p>
      <w:pPr>
        <w:spacing w:line="240" w:lineRule="auto"/>
        <w:ind w:firstLine="642" w:firstLineChars="200"/>
        <w:outlineLvl w:val="9"/>
        <w:rPr>
          <w:rFonts w:eastAsia="方正楷体_GBK"/>
          <w:b/>
          <w:bCs w:val="0"/>
          <w:szCs w:val="32"/>
        </w:rPr>
      </w:pPr>
    </w:p>
    <w:p>
      <w:pPr>
        <w:pStyle w:val="2"/>
        <w:rPr>
          <w:rFonts w:eastAsia="方正楷体_GBK"/>
          <w:b/>
          <w:bCs w:val="0"/>
          <w:szCs w:val="32"/>
        </w:rPr>
      </w:pPr>
    </w:p>
    <w:p>
      <w:pPr>
        <w:pStyle w:val="2"/>
        <w:rPr>
          <w:rFonts w:eastAsia="方正楷体_GBK"/>
          <w:b/>
          <w:bCs w:val="0"/>
          <w:szCs w:val="32"/>
        </w:rPr>
      </w:pPr>
    </w:p>
    <w:p>
      <w:pPr>
        <w:pStyle w:val="2"/>
        <w:rPr>
          <w:rFonts w:eastAsia="方正楷体_GBK"/>
          <w:b/>
          <w:bCs w:val="0"/>
          <w:szCs w:val="32"/>
        </w:rPr>
      </w:pPr>
    </w:p>
    <w:p>
      <w:pPr>
        <w:spacing w:line="240" w:lineRule="auto"/>
        <w:ind w:firstLine="642" w:firstLineChars="200"/>
        <w:outlineLvl w:val="9"/>
        <w:rPr>
          <w:rFonts w:eastAsia="方正楷体_GBK"/>
          <w:b/>
          <w:bCs w:val="0"/>
          <w:szCs w:val="32"/>
        </w:rPr>
      </w:pPr>
    </w:p>
    <w:p>
      <w:pPr>
        <w:spacing w:line="240" w:lineRule="auto"/>
        <w:ind w:firstLine="642" w:firstLineChars="200"/>
        <w:outlineLvl w:val="9"/>
        <w:rPr>
          <w:rFonts w:eastAsia="方正楷体_GBK"/>
          <w:b/>
          <w:bCs w:val="0"/>
          <w:szCs w:val="32"/>
        </w:rPr>
      </w:pPr>
    </w:p>
    <w:p>
      <w:pPr>
        <w:ind w:firstLine="642" w:firstLineChars="200"/>
        <w:outlineLvl w:val="1"/>
        <w:rPr>
          <w:rFonts w:eastAsia="方正楷体_GBK"/>
          <w:b/>
          <w:bCs w:val="0"/>
          <w:szCs w:val="32"/>
        </w:rPr>
      </w:pPr>
      <w:bookmarkStart w:id="4" w:name="_Toc29909"/>
      <w:r>
        <w:rPr>
          <w:rFonts w:eastAsia="方正楷体_GBK"/>
          <w:b/>
          <w:bCs w:val="0"/>
          <w:szCs w:val="32"/>
        </w:rPr>
        <w:t>（四）违反现场检查规定的行为</w:t>
      </w:r>
      <w:bookmarkEnd w:id="4"/>
    </w:p>
    <w:p>
      <w:pPr>
        <w:pStyle w:val="12"/>
        <w:jc w:val="center"/>
        <w:rPr>
          <w:rFonts w:hint="eastAsia" w:ascii="华文仿宋" w:hAnsi="华文仿宋" w:eastAsia="华文仿宋" w:cs="华文仿宋"/>
          <w:sz w:val="28"/>
          <w:szCs w:val="18"/>
        </w:rPr>
      </w:pPr>
      <w:r>
        <w:rPr>
          <w:rFonts w:hint="eastAsia" w:ascii="华文仿宋" w:hAnsi="华文仿宋" w:eastAsia="华文仿宋" w:cs="华文仿宋"/>
          <w:sz w:val="28"/>
          <w:szCs w:val="18"/>
        </w:rPr>
        <w:t>表4-1 拒不接受监督检查的裁量标准</w:t>
      </w:r>
    </w:p>
    <w:tbl>
      <w:tblPr>
        <w:tblStyle w:val="9"/>
        <w:tblpPr w:leftFromText="180" w:rightFromText="180" w:vertAnchor="text" w:horzAnchor="page" w:tblpX="1517" w:tblpY="36"/>
        <w:tblOverlap w:val="never"/>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2437"/>
        <w:gridCol w:w="3931"/>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4"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437"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393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202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972"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2025"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4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拒不接受监督检查</w:t>
            </w:r>
          </w:p>
        </w:tc>
        <w:tc>
          <w:tcPr>
            <w:tcW w:w="3931" w:type="dxa"/>
            <w:vAlign w:val="center"/>
          </w:tcPr>
          <w:p>
            <w:pPr>
              <w:spacing w:line="240" w:lineRule="auto"/>
              <w:ind w:firstLine="0"/>
              <w:rPr>
                <w:rFonts w:ascii="宋体" w:hAnsi="宋体" w:eastAsia="宋体"/>
                <w:sz w:val="21"/>
                <w:szCs w:val="21"/>
              </w:rPr>
            </w:pPr>
            <w:r>
              <w:rPr>
                <w:rFonts w:ascii="宋体" w:hAnsi="宋体" w:eastAsia="宋体"/>
                <w:sz w:val="21"/>
                <w:szCs w:val="21"/>
              </w:rPr>
              <w:t>拒不提供信息</w:t>
            </w:r>
            <w:r>
              <w:rPr>
                <w:rFonts w:ascii="宋体" w:hAnsi="宋体" w:eastAsia="宋体"/>
                <w:color w:val="000000"/>
                <w:sz w:val="21"/>
                <w:szCs w:val="21"/>
                <w:lang w:bidi="ar"/>
              </w:rPr>
              <w:t>/</w:t>
            </w:r>
            <w:r>
              <w:rPr>
                <w:rFonts w:ascii="宋体" w:hAnsi="宋体" w:eastAsia="宋体"/>
                <w:sz w:val="21"/>
                <w:szCs w:val="21"/>
              </w:rPr>
              <w:t>资料</w:t>
            </w:r>
          </w:p>
        </w:tc>
        <w:tc>
          <w:tcPr>
            <w:tcW w:w="202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604" w:type="dxa"/>
            <w:vMerge w:val="continue"/>
            <w:vAlign w:val="center"/>
          </w:tcPr>
          <w:p>
            <w:pPr>
              <w:spacing w:line="240" w:lineRule="auto"/>
              <w:ind w:firstLine="0"/>
              <w:jc w:val="center"/>
              <w:rPr>
                <w:rFonts w:ascii="宋体" w:hAnsi="宋体" w:eastAsia="宋体"/>
                <w:sz w:val="21"/>
                <w:szCs w:val="21"/>
              </w:rPr>
            </w:pPr>
          </w:p>
        </w:tc>
        <w:tc>
          <w:tcPr>
            <w:tcW w:w="2437" w:type="dxa"/>
            <w:vMerge w:val="continue"/>
            <w:vAlign w:val="center"/>
          </w:tcPr>
          <w:p>
            <w:pPr>
              <w:spacing w:line="240" w:lineRule="auto"/>
              <w:ind w:firstLine="0"/>
              <w:jc w:val="center"/>
              <w:rPr>
                <w:rFonts w:ascii="宋体" w:hAnsi="宋体" w:eastAsia="宋体"/>
                <w:sz w:val="21"/>
                <w:szCs w:val="21"/>
              </w:rPr>
            </w:pPr>
          </w:p>
        </w:tc>
        <w:tc>
          <w:tcPr>
            <w:tcW w:w="3931" w:type="dxa"/>
            <w:vAlign w:val="center"/>
          </w:tcPr>
          <w:p>
            <w:pPr>
              <w:spacing w:line="240" w:lineRule="auto"/>
              <w:ind w:firstLine="0"/>
              <w:rPr>
                <w:rFonts w:ascii="宋体" w:hAnsi="宋体" w:eastAsia="宋体"/>
                <w:sz w:val="21"/>
                <w:szCs w:val="21"/>
              </w:rPr>
            </w:pPr>
            <w:r>
              <w:rPr>
                <w:rFonts w:ascii="宋体" w:hAnsi="宋体" w:eastAsia="宋体"/>
                <w:sz w:val="21"/>
                <w:szCs w:val="21"/>
              </w:rPr>
              <w:t>除拖延、围堵、滞留执法人员、暴力抗法以外的方式等拒绝、阻挠执法人员进入现场</w:t>
            </w:r>
          </w:p>
        </w:tc>
        <w:tc>
          <w:tcPr>
            <w:tcW w:w="202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4" w:type="dxa"/>
            <w:vMerge w:val="continue"/>
            <w:vAlign w:val="center"/>
          </w:tcPr>
          <w:p>
            <w:pPr>
              <w:spacing w:line="240" w:lineRule="auto"/>
              <w:ind w:firstLine="0"/>
              <w:jc w:val="center"/>
              <w:rPr>
                <w:rFonts w:ascii="宋体" w:hAnsi="宋体" w:eastAsia="宋体"/>
                <w:sz w:val="21"/>
                <w:szCs w:val="21"/>
              </w:rPr>
            </w:pPr>
          </w:p>
        </w:tc>
        <w:tc>
          <w:tcPr>
            <w:tcW w:w="2437" w:type="dxa"/>
            <w:vMerge w:val="continue"/>
            <w:vAlign w:val="center"/>
          </w:tcPr>
          <w:p>
            <w:pPr>
              <w:spacing w:line="240" w:lineRule="auto"/>
              <w:ind w:firstLine="0"/>
              <w:jc w:val="center"/>
              <w:rPr>
                <w:rFonts w:ascii="宋体" w:hAnsi="宋体" w:eastAsia="宋体"/>
                <w:sz w:val="21"/>
                <w:szCs w:val="21"/>
              </w:rPr>
            </w:pPr>
          </w:p>
        </w:tc>
        <w:tc>
          <w:tcPr>
            <w:tcW w:w="3931"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rPr>
              <w:t>拖延、围堵、滞留执法人员或者暴力抗法</w:t>
            </w:r>
          </w:p>
        </w:tc>
        <w:tc>
          <w:tcPr>
            <w:tcW w:w="202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90%</w:t>
            </w:r>
          </w:p>
        </w:tc>
      </w:tr>
    </w:tbl>
    <w:p>
      <w:pPr>
        <w:spacing w:line="240" w:lineRule="auto"/>
        <w:ind w:firstLine="420" w:firstLineChars="200"/>
        <w:rPr>
          <w:rFonts w:hint="eastAsia" w:ascii="宋体" w:hAnsi="宋体" w:eastAsia="宋体"/>
          <w:sz w:val="21"/>
          <w:szCs w:val="21"/>
        </w:rPr>
      </w:pPr>
    </w:p>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大气污染防治法》第九十八条规定“违反本法规定，以拒绝进入现场等方式拒不接受生态环境主管部门及其委托的环境执法机构或者其他负有大气环境保护监督管理职责的部门的监督检查</w:t>
      </w:r>
      <w:r>
        <w:rPr>
          <w:rFonts w:hint="eastAsia" w:ascii="宋体" w:hAnsi="宋体" w:eastAsia="宋体"/>
          <w:sz w:val="21"/>
          <w:szCs w:val="21"/>
          <w:lang w:eastAsia="zh-CN"/>
        </w:rPr>
        <w:t>……</w:t>
      </w:r>
      <w:r>
        <w:rPr>
          <w:rFonts w:ascii="宋体" w:hAnsi="宋体" w:eastAsia="宋体"/>
          <w:sz w:val="21"/>
          <w:szCs w:val="21"/>
        </w:rPr>
        <w:t>由县级以上人民政府生态环境主管部门或者其他负有大气环境保护监督管理职责的部门责令改正，处二万元以上二十万元以下的罚款”、《中华人民共和国水污染防治法》第八十一条规定“以拖延、围堵、滞留执法人员等方式拒绝、阻挠环境保护主管部门或者其他依照本法规定行使监督管理权的部门的监督检查</w:t>
      </w:r>
      <w:r>
        <w:rPr>
          <w:rFonts w:hint="eastAsia" w:ascii="宋体" w:hAnsi="宋体" w:eastAsia="宋体"/>
          <w:sz w:val="21"/>
          <w:szCs w:val="21"/>
          <w:lang w:eastAsia="zh-CN"/>
        </w:rPr>
        <w:t>……</w:t>
      </w:r>
      <w:r>
        <w:rPr>
          <w:rFonts w:ascii="宋体" w:hAnsi="宋体" w:eastAsia="宋体"/>
          <w:sz w:val="21"/>
          <w:szCs w:val="21"/>
        </w:rPr>
        <w:t>由县级以上人民政府环境保护主管部门或者其他依照本法规定行使监督管理权的部门责令改正，处二万元以上二十万元以下的罚款”、《中华人民共和国土壤污染防治法》第九十三条规定“违反本法规定，被检查者拒不配合检查</w:t>
      </w:r>
      <w:r>
        <w:rPr>
          <w:rFonts w:hint="eastAsia" w:ascii="宋体" w:hAnsi="宋体" w:eastAsia="宋体"/>
          <w:sz w:val="21"/>
          <w:szCs w:val="21"/>
          <w:lang w:eastAsia="zh-CN"/>
        </w:rPr>
        <w:t>……</w:t>
      </w:r>
      <w:r>
        <w:rPr>
          <w:rFonts w:ascii="宋体" w:hAnsi="宋体" w:eastAsia="宋体"/>
          <w:sz w:val="21"/>
          <w:szCs w:val="21"/>
        </w:rPr>
        <w:t>由地方人民政府生态环境主管部门或者其他负有土壤污染防治监督管理职责的部门责令改正，处二万元以上二十万元以下的罚款；对直接负责的主管人员和其他直接责任人员处五千元以上二万元以下的罚款”的情形。</w:t>
      </w:r>
    </w:p>
    <w:p>
      <w:pPr>
        <w:numPr>
          <w:ilvl w:val="0"/>
          <w:numId w:val="1"/>
        </w:numPr>
        <w:spacing w:line="240" w:lineRule="auto"/>
        <w:ind w:firstLine="420" w:firstLineChars="200"/>
        <w:rPr>
          <w:rFonts w:ascii="宋体" w:hAnsi="宋体" w:eastAsia="宋体"/>
          <w:sz w:val="21"/>
          <w:szCs w:val="21"/>
        </w:rPr>
      </w:pPr>
      <w:r>
        <w:rPr>
          <w:rFonts w:ascii="宋体" w:hAnsi="宋体" w:eastAsia="宋体"/>
          <w:sz w:val="21"/>
          <w:szCs w:val="21"/>
        </w:rPr>
        <w:t>对直接负责的主管人员和其他直接责任人员的罚款金额按照表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numPr>
          <w:ilvl w:val="0"/>
          <w:numId w:val="1"/>
        </w:numPr>
        <w:spacing w:line="240" w:lineRule="auto"/>
        <w:ind w:firstLine="420" w:firstLineChars="200"/>
        <w:rPr>
          <w:rFonts w:hint="default" w:ascii="宋体" w:hAnsi="宋体" w:eastAsia="宋体"/>
          <w:b w:val="0"/>
          <w:bCs w:val="0"/>
          <w:sz w:val="21"/>
          <w:szCs w:val="21"/>
          <w:lang w:val="en-US" w:eastAsia="zh-CN"/>
        </w:rPr>
      </w:pPr>
      <w:r>
        <w:rPr>
          <w:rFonts w:hint="eastAsia" w:ascii="宋体" w:hAnsi="宋体" w:eastAsia="宋体"/>
          <w:b w:val="0"/>
          <w:bCs w:val="0"/>
          <w:sz w:val="21"/>
          <w:szCs w:val="21"/>
          <w:lang w:val="en-US" w:eastAsia="zh-CN"/>
        </w:rPr>
        <w:t>法律法规等有其他规定的，从其规定。</w:t>
      </w:r>
    </w:p>
    <w:p>
      <w:pPr>
        <w:spacing w:line="240" w:lineRule="auto"/>
        <w:ind w:firstLine="420" w:firstLineChars="200"/>
        <w:rPr>
          <w:rFonts w:ascii="宋体" w:hAnsi="宋体" w:eastAsia="宋体"/>
          <w:sz w:val="21"/>
          <w:szCs w:val="21"/>
        </w:rPr>
      </w:pPr>
    </w:p>
    <w:p>
      <w:pPr>
        <w:pStyle w:val="12"/>
        <w:rPr>
          <w:bCs/>
          <w:sz w:val="28"/>
          <w:szCs w:val="28"/>
        </w:rPr>
      </w:pPr>
      <w:r>
        <w:rPr>
          <w:rFonts w:ascii="宋体" w:hAnsi="宋体" w:eastAsia="宋体"/>
          <w:sz w:val="21"/>
          <w:szCs w:val="21"/>
        </w:rPr>
        <w:br w:type="page"/>
      </w:r>
      <w:r>
        <w:rPr>
          <w:rFonts w:hint="eastAsia" w:ascii="华文仿宋" w:hAnsi="华文仿宋" w:eastAsia="华文仿宋" w:cs="华文仿宋"/>
          <w:sz w:val="28"/>
          <w:szCs w:val="18"/>
        </w:rPr>
        <w:t>表4-2 拒不接受监督检查的裁量标准</w:t>
      </w:r>
    </w:p>
    <w:tbl>
      <w:tblPr>
        <w:tblStyle w:val="9"/>
        <w:tblpPr w:leftFromText="180" w:rightFromText="180" w:vertAnchor="text" w:horzAnchor="page" w:tblpX="1592" w:tblpY="35"/>
        <w:tblOverlap w:val="never"/>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2437"/>
        <w:gridCol w:w="3931"/>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4"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437"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393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202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972"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2025"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4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拒不接受监督检查</w:t>
            </w:r>
          </w:p>
        </w:tc>
        <w:tc>
          <w:tcPr>
            <w:tcW w:w="3931" w:type="dxa"/>
            <w:vAlign w:val="center"/>
          </w:tcPr>
          <w:p>
            <w:pPr>
              <w:spacing w:line="240" w:lineRule="auto"/>
              <w:ind w:firstLine="0"/>
              <w:rPr>
                <w:rFonts w:ascii="宋体" w:hAnsi="宋体" w:eastAsia="宋体"/>
                <w:sz w:val="21"/>
                <w:szCs w:val="21"/>
              </w:rPr>
            </w:pPr>
            <w:r>
              <w:rPr>
                <w:rFonts w:ascii="宋体" w:hAnsi="宋体" w:eastAsia="宋体"/>
                <w:sz w:val="21"/>
                <w:szCs w:val="21"/>
              </w:rPr>
              <w:t>拒不提供信息</w:t>
            </w:r>
            <w:r>
              <w:rPr>
                <w:rFonts w:ascii="宋体" w:hAnsi="宋体" w:eastAsia="宋体"/>
                <w:color w:val="000000"/>
                <w:sz w:val="21"/>
                <w:szCs w:val="21"/>
                <w:lang w:bidi="ar"/>
              </w:rPr>
              <w:t>/</w:t>
            </w:r>
            <w:r>
              <w:rPr>
                <w:rFonts w:ascii="宋体" w:hAnsi="宋体" w:eastAsia="宋体"/>
                <w:sz w:val="21"/>
                <w:szCs w:val="21"/>
              </w:rPr>
              <w:t>资料</w:t>
            </w:r>
          </w:p>
        </w:tc>
        <w:tc>
          <w:tcPr>
            <w:tcW w:w="202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604" w:type="dxa"/>
            <w:vMerge w:val="continue"/>
            <w:vAlign w:val="center"/>
          </w:tcPr>
          <w:p>
            <w:pPr>
              <w:spacing w:line="240" w:lineRule="auto"/>
              <w:ind w:firstLine="0"/>
              <w:jc w:val="center"/>
              <w:rPr>
                <w:rFonts w:ascii="宋体" w:hAnsi="宋体" w:eastAsia="宋体"/>
                <w:sz w:val="21"/>
                <w:szCs w:val="21"/>
              </w:rPr>
            </w:pPr>
          </w:p>
        </w:tc>
        <w:tc>
          <w:tcPr>
            <w:tcW w:w="2437" w:type="dxa"/>
            <w:vMerge w:val="continue"/>
            <w:vAlign w:val="center"/>
          </w:tcPr>
          <w:p>
            <w:pPr>
              <w:spacing w:line="240" w:lineRule="auto"/>
              <w:ind w:firstLine="0"/>
              <w:jc w:val="center"/>
              <w:rPr>
                <w:rFonts w:ascii="宋体" w:hAnsi="宋体" w:eastAsia="宋体"/>
                <w:sz w:val="21"/>
                <w:szCs w:val="21"/>
              </w:rPr>
            </w:pPr>
          </w:p>
        </w:tc>
        <w:tc>
          <w:tcPr>
            <w:tcW w:w="3931" w:type="dxa"/>
            <w:vAlign w:val="center"/>
          </w:tcPr>
          <w:p>
            <w:pPr>
              <w:spacing w:line="240" w:lineRule="auto"/>
              <w:ind w:firstLine="0"/>
              <w:rPr>
                <w:rFonts w:ascii="宋体" w:hAnsi="宋体" w:eastAsia="宋体"/>
                <w:sz w:val="21"/>
                <w:szCs w:val="21"/>
              </w:rPr>
            </w:pPr>
            <w:r>
              <w:rPr>
                <w:rFonts w:ascii="宋体" w:hAnsi="宋体" w:eastAsia="宋体"/>
                <w:sz w:val="21"/>
                <w:szCs w:val="21"/>
              </w:rPr>
              <w:t>除拖延、围堵、滞留执法人员、暴力抗法以外的方式等拒绝、阻挠执法人员进入现场</w:t>
            </w:r>
          </w:p>
        </w:tc>
        <w:tc>
          <w:tcPr>
            <w:tcW w:w="202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4" w:type="dxa"/>
            <w:vMerge w:val="continue"/>
            <w:vAlign w:val="center"/>
          </w:tcPr>
          <w:p>
            <w:pPr>
              <w:spacing w:line="240" w:lineRule="auto"/>
              <w:ind w:firstLine="0"/>
              <w:jc w:val="center"/>
              <w:rPr>
                <w:rFonts w:ascii="宋体" w:hAnsi="宋体" w:eastAsia="宋体"/>
                <w:sz w:val="21"/>
                <w:szCs w:val="21"/>
              </w:rPr>
            </w:pPr>
          </w:p>
        </w:tc>
        <w:tc>
          <w:tcPr>
            <w:tcW w:w="2437" w:type="dxa"/>
            <w:vMerge w:val="continue"/>
            <w:vAlign w:val="center"/>
          </w:tcPr>
          <w:p>
            <w:pPr>
              <w:spacing w:line="240" w:lineRule="auto"/>
              <w:ind w:firstLine="0"/>
              <w:jc w:val="center"/>
              <w:rPr>
                <w:rFonts w:ascii="宋体" w:hAnsi="宋体" w:eastAsia="宋体"/>
                <w:sz w:val="21"/>
                <w:szCs w:val="21"/>
              </w:rPr>
            </w:pPr>
          </w:p>
        </w:tc>
        <w:tc>
          <w:tcPr>
            <w:tcW w:w="3931" w:type="dxa"/>
            <w:vAlign w:val="center"/>
          </w:tcPr>
          <w:p>
            <w:pPr>
              <w:spacing w:line="240" w:lineRule="auto"/>
              <w:ind w:firstLine="0"/>
              <w:rPr>
                <w:rFonts w:ascii="宋体" w:hAnsi="宋体" w:eastAsia="宋体"/>
                <w:color w:val="000000"/>
                <w:sz w:val="21"/>
                <w:szCs w:val="21"/>
                <w:lang w:bidi="ar"/>
              </w:rPr>
            </w:pPr>
            <w:r>
              <w:rPr>
                <w:rFonts w:ascii="宋体" w:hAnsi="宋体" w:eastAsia="宋体"/>
                <w:sz w:val="21"/>
                <w:szCs w:val="21"/>
              </w:rPr>
              <w:t>拖延、围堵、滞留执法人员或者暴力抗法</w:t>
            </w:r>
          </w:p>
        </w:tc>
        <w:tc>
          <w:tcPr>
            <w:tcW w:w="202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75%</w:t>
            </w:r>
          </w:p>
        </w:tc>
      </w:tr>
    </w:tbl>
    <w:p>
      <w:pPr>
        <w:spacing w:line="240" w:lineRule="auto"/>
        <w:ind w:firstLine="420" w:firstLineChars="200"/>
        <w:rPr>
          <w:rFonts w:hint="eastAsia" w:ascii="宋体" w:hAnsi="宋体" w:eastAsia="宋体"/>
          <w:sz w:val="21"/>
          <w:szCs w:val="21"/>
        </w:rPr>
      </w:pPr>
    </w:p>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注：1、本表适用于《中华人民共和国固体废物污染环境防治法》第一百零三条规定“违反本法规定，以拖延、围堵、滞留执法人员等方式拒绝、阻挠监督检查</w:t>
      </w:r>
      <w:r>
        <w:rPr>
          <w:rFonts w:hint="eastAsia" w:ascii="宋体" w:hAnsi="宋体" w:eastAsia="宋体"/>
          <w:sz w:val="21"/>
          <w:szCs w:val="21"/>
          <w:lang w:eastAsia="zh-CN"/>
        </w:rPr>
        <w:t>……</w:t>
      </w:r>
      <w:r>
        <w:rPr>
          <w:rFonts w:ascii="宋体" w:hAnsi="宋体" w:eastAsia="宋体"/>
          <w:sz w:val="21"/>
          <w:szCs w:val="21"/>
        </w:rPr>
        <w:t>由生态环境主管部门或者其他负有固体废物污染环境防治监督管理职责的部门责令改正，处五万元以上二十万元以下的罚款；对直接负责的主管人员和其他直接责任人员，处二万元以上十万元以下的罚款”的情形。</w:t>
      </w:r>
    </w:p>
    <w:p>
      <w:pPr>
        <w:numPr>
          <w:ilvl w:val="0"/>
          <w:numId w:val="2"/>
        </w:numPr>
        <w:spacing w:line="240" w:lineRule="auto"/>
        <w:ind w:firstLine="420" w:firstLineChars="200"/>
        <w:rPr>
          <w:rFonts w:ascii="宋体" w:hAnsi="宋体" w:eastAsia="宋体"/>
          <w:sz w:val="21"/>
          <w:szCs w:val="21"/>
        </w:rPr>
      </w:pPr>
      <w:r>
        <w:rPr>
          <w:rFonts w:ascii="宋体" w:hAnsi="宋体" w:eastAsia="宋体"/>
          <w:sz w:val="21"/>
          <w:szCs w:val="21"/>
        </w:rPr>
        <w:t>对直接负责的主管人员和其他直接责任人员的罚款金额按照表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numPr>
          <w:ilvl w:val="0"/>
          <w:numId w:val="2"/>
        </w:numPr>
        <w:spacing w:line="240" w:lineRule="auto"/>
        <w:ind w:firstLine="420" w:firstLineChars="200"/>
        <w:rPr>
          <w:rFonts w:ascii="宋体" w:hAnsi="宋体" w:eastAsia="宋体"/>
          <w:sz w:val="21"/>
          <w:szCs w:val="21"/>
        </w:rPr>
      </w:pPr>
      <w:r>
        <w:rPr>
          <w:rFonts w:hint="eastAsia" w:ascii="宋体" w:hAnsi="宋体" w:eastAsia="宋体"/>
          <w:sz w:val="21"/>
          <w:szCs w:val="21"/>
        </w:rPr>
        <w:t>法律法规等有其他规定的，从其规定。</w:t>
      </w:r>
    </w:p>
    <w:p>
      <w:pPr>
        <w:pStyle w:val="2"/>
        <w:numPr>
          <w:ilvl w:val="0"/>
          <w:numId w:val="0"/>
        </w:numPr>
      </w:pPr>
    </w:p>
    <w:p>
      <w:pPr>
        <w:ind w:firstLine="0"/>
        <w:jc w:val="center"/>
        <w:rPr>
          <w:rFonts w:eastAsia="方正楷体_GBK"/>
          <w:bCs/>
          <w:sz w:val="28"/>
          <w:szCs w:val="28"/>
        </w:rPr>
      </w:pPr>
      <w:r>
        <w:rPr>
          <w:rFonts w:ascii="宋体" w:hAnsi="宋体" w:eastAsia="宋体"/>
          <w:sz w:val="21"/>
          <w:szCs w:val="21"/>
        </w:rPr>
        <w:br w:type="page"/>
      </w:r>
      <w:r>
        <w:rPr>
          <w:rFonts w:hint="eastAsia" w:ascii="华文仿宋" w:hAnsi="华文仿宋" w:eastAsia="华文仿宋" w:cs="华文仿宋"/>
          <w:snapToGrid w:val="0"/>
          <w:sz w:val="28"/>
          <w:szCs w:val="18"/>
          <w:lang w:val="en-US" w:eastAsia="zh-CN" w:bidi="ar-SA"/>
        </w:rPr>
        <w:t>表4-3 在接受监督检查时弄虚作假行为的裁量标准</w:t>
      </w:r>
    </w:p>
    <w:tbl>
      <w:tblPr>
        <w:tblStyle w:val="9"/>
        <w:tblpPr w:leftFromText="180" w:rightFromText="180" w:vertAnchor="text" w:horzAnchor="page" w:tblpX="1667" w:tblpY="53"/>
        <w:tblOverlap w:val="never"/>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246"/>
        <w:gridCol w:w="4369"/>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4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369"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87"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410"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587"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4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在接受监督检查时弄虚作假的</w:t>
            </w:r>
          </w:p>
        </w:tc>
        <w:tc>
          <w:tcPr>
            <w:tcW w:w="436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提供假信息/</w:t>
            </w:r>
            <w:r>
              <w:rPr>
                <w:rFonts w:ascii="宋体" w:hAnsi="宋体" w:eastAsia="宋体"/>
                <w:sz w:val="21"/>
                <w:szCs w:val="21"/>
              </w:rPr>
              <w:t>资料</w:t>
            </w:r>
            <w:r>
              <w:rPr>
                <w:rFonts w:ascii="宋体" w:hAnsi="宋体" w:eastAsia="宋体"/>
                <w:color w:val="000000"/>
                <w:sz w:val="21"/>
                <w:szCs w:val="21"/>
                <w:lang w:bidi="ar"/>
              </w:rPr>
              <w:t>，及时改正且不影响调查取证</w:t>
            </w:r>
          </w:p>
        </w:tc>
        <w:tc>
          <w:tcPr>
            <w:tcW w:w="1587"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46" w:type="dxa"/>
            <w:vMerge w:val="continue"/>
            <w:vAlign w:val="center"/>
          </w:tcPr>
          <w:p>
            <w:pPr>
              <w:spacing w:line="240" w:lineRule="auto"/>
              <w:ind w:firstLine="0"/>
              <w:jc w:val="center"/>
              <w:rPr>
                <w:rFonts w:ascii="宋体" w:hAnsi="宋体" w:eastAsia="宋体"/>
                <w:sz w:val="21"/>
                <w:szCs w:val="21"/>
              </w:rPr>
            </w:pPr>
          </w:p>
        </w:tc>
        <w:tc>
          <w:tcPr>
            <w:tcW w:w="436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提供假信息/</w:t>
            </w:r>
            <w:r>
              <w:rPr>
                <w:rFonts w:ascii="宋体" w:hAnsi="宋体" w:eastAsia="宋体"/>
                <w:sz w:val="21"/>
                <w:szCs w:val="21"/>
              </w:rPr>
              <w:t>资料</w:t>
            </w:r>
            <w:r>
              <w:rPr>
                <w:rFonts w:ascii="宋体" w:hAnsi="宋体" w:eastAsia="宋体"/>
                <w:color w:val="000000"/>
                <w:sz w:val="21"/>
                <w:szCs w:val="21"/>
                <w:lang w:bidi="ar"/>
              </w:rPr>
              <w:t>，影响调查取证</w:t>
            </w:r>
          </w:p>
        </w:tc>
        <w:tc>
          <w:tcPr>
            <w:tcW w:w="1587"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46" w:type="dxa"/>
            <w:vMerge w:val="continue"/>
            <w:vAlign w:val="center"/>
          </w:tcPr>
          <w:p>
            <w:pPr>
              <w:spacing w:line="240" w:lineRule="auto"/>
              <w:ind w:firstLine="0"/>
              <w:jc w:val="center"/>
              <w:rPr>
                <w:rFonts w:ascii="宋体" w:hAnsi="宋体" w:eastAsia="宋体"/>
                <w:sz w:val="21"/>
                <w:szCs w:val="21"/>
              </w:rPr>
            </w:pPr>
          </w:p>
        </w:tc>
        <w:tc>
          <w:tcPr>
            <w:tcW w:w="436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伪造现场或证据</w:t>
            </w:r>
          </w:p>
        </w:tc>
        <w:tc>
          <w:tcPr>
            <w:tcW w:w="1587"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90%</w:t>
            </w:r>
          </w:p>
        </w:tc>
      </w:tr>
    </w:tbl>
    <w:p>
      <w:pPr>
        <w:spacing w:line="240" w:lineRule="auto"/>
        <w:ind w:firstLine="420" w:firstLineChars="200"/>
        <w:rPr>
          <w:rFonts w:hint="eastAsia" w:ascii="宋体" w:hAnsi="宋体" w:eastAsia="宋体"/>
          <w:sz w:val="21"/>
          <w:szCs w:val="21"/>
        </w:rPr>
      </w:pPr>
    </w:p>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大气污染防治法》第九十八条规定“在接受监督检查时弄虚作假的，由县级以上人民政府生态环境主管部门或者其他负有大气环境保护监督管理职责的部门责令改正，处二万元以上二十万元以下的罚款”、《中华人民共和国水污染防治法》第八十一条规定“在接受监督检查时弄虚作假的，由县级以上人民政府环境保护主管部门或者其他依照本法规定行使监督管理权的部门责令改正，处二万元以上二十万元以下的罚款”、《中华人民共和国土壤污染防治法》第九十三条规定“在接受检查时弄虚作假的，由地方人民政府生态环境主管部门或者其他负有土壤污染防治监督管理职责的部门责令改正，处二万元以上二十万元以下的罚款；对直接负责的主管人员和其他直接责任人员处五千元以上二万元以下的罚款”的情形。</w:t>
      </w:r>
    </w:p>
    <w:p>
      <w:pPr>
        <w:numPr>
          <w:ilvl w:val="0"/>
          <w:numId w:val="0"/>
        </w:numPr>
        <w:spacing w:line="240" w:lineRule="auto"/>
        <w:ind w:firstLine="420" w:firstLineChars="200"/>
        <w:rPr>
          <w:rFonts w:hint="default" w:ascii="宋体" w:hAnsi="宋体" w:eastAsia="宋体"/>
          <w:b w:val="0"/>
          <w:bCs w:val="0"/>
          <w:sz w:val="21"/>
          <w:szCs w:val="21"/>
          <w:lang w:val="en-US" w:eastAsia="zh-CN"/>
        </w:rPr>
      </w:pPr>
      <w:r>
        <w:rPr>
          <w:rFonts w:ascii="宋体" w:hAnsi="宋体" w:eastAsia="宋体"/>
          <w:sz w:val="21"/>
          <w:szCs w:val="21"/>
        </w:rPr>
        <w:t>2、对直接负责的主管人员和其他直接责任人员的罚款金额按照表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numPr>
          <w:ilvl w:val="0"/>
          <w:numId w:val="0"/>
        </w:numPr>
        <w:spacing w:line="240" w:lineRule="auto"/>
        <w:ind w:firstLine="420" w:firstLineChars="200"/>
        <w:rPr>
          <w:rFonts w:hint="default" w:ascii="宋体" w:hAnsi="宋体" w:eastAsia="宋体"/>
          <w:b w:val="0"/>
          <w:bCs w:val="0"/>
          <w:sz w:val="21"/>
          <w:szCs w:val="21"/>
          <w:lang w:val="en-US" w:eastAsia="zh-CN"/>
        </w:rPr>
      </w:pPr>
      <w:r>
        <w:rPr>
          <w:rFonts w:hint="eastAsia" w:ascii="宋体" w:hAnsi="宋体" w:eastAsia="宋体"/>
          <w:b w:val="0"/>
          <w:bCs w:val="0"/>
          <w:sz w:val="21"/>
          <w:szCs w:val="21"/>
          <w:lang w:val="en-US" w:eastAsia="zh-CN"/>
        </w:rPr>
        <w:t>3、法律法规等有其他规定的，从其规定。</w:t>
      </w:r>
    </w:p>
    <w:p>
      <w:pPr>
        <w:spacing w:line="240" w:lineRule="auto"/>
        <w:ind w:firstLine="420" w:firstLineChars="200"/>
        <w:rPr>
          <w:rFonts w:hint="eastAsia" w:ascii="宋体" w:hAnsi="宋体" w:eastAsia="宋体"/>
          <w:sz w:val="21"/>
          <w:szCs w:val="21"/>
        </w:rPr>
      </w:pPr>
    </w:p>
    <w:p>
      <w:pPr>
        <w:pStyle w:val="12"/>
        <w:rPr>
          <w:bCs/>
          <w:sz w:val="28"/>
          <w:szCs w:val="28"/>
        </w:rPr>
      </w:pPr>
      <w:r>
        <w:br w:type="page"/>
      </w:r>
      <w:r>
        <w:rPr>
          <w:rFonts w:hint="eastAsia" w:ascii="华文仿宋" w:hAnsi="华文仿宋" w:eastAsia="华文仿宋" w:cs="华文仿宋"/>
          <w:snapToGrid w:val="0"/>
          <w:sz w:val="28"/>
          <w:szCs w:val="18"/>
          <w:lang w:val="en-US" w:eastAsia="zh-CN" w:bidi="ar-SA"/>
        </w:rPr>
        <w:t>表4-4 在接受监督检查时弄虚作假行为的裁量标准</w:t>
      </w:r>
    </w:p>
    <w:tbl>
      <w:tblPr>
        <w:tblStyle w:val="9"/>
        <w:tblpPr w:leftFromText="180" w:rightFromText="180" w:vertAnchor="text" w:horzAnchor="page" w:tblpX="1562" w:tblpY="56"/>
        <w:tblOverlap w:val="never"/>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246"/>
        <w:gridCol w:w="4369"/>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4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369"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87"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410"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587"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4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在接受监督检查时弄虚作假的</w:t>
            </w:r>
          </w:p>
        </w:tc>
        <w:tc>
          <w:tcPr>
            <w:tcW w:w="436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提供假信息/</w:t>
            </w:r>
            <w:r>
              <w:rPr>
                <w:rFonts w:ascii="宋体" w:hAnsi="宋体" w:eastAsia="宋体"/>
                <w:sz w:val="21"/>
                <w:szCs w:val="21"/>
              </w:rPr>
              <w:t>资料</w:t>
            </w:r>
            <w:r>
              <w:rPr>
                <w:rFonts w:ascii="宋体" w:hAnsi="宋体" w:eastAsia="宋体"/>
                <w:color w:val="000000"/>
                <w:sz w:val="21"/>
                <w:szCs w:val="21"/>
                <w:lang w:bidi="ar"/>
              </w:rPr>
              <w:t>，及时改正且不影响调查取证</w:t>
            </w:r>
          </w:p>
        </w:tc>
        <w:tc>
          <w:tcPr>
            <w:tcW w:w="1587"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46" w:type="dxa"/>
            <w:vMerge w:val="continue"/>
            <w:vAlign w:val="center"/>
          </w:tcPr>
          <w:p>
            <w:pPr>
              <w:spacing w:line="240" w:lineRule="auto"/>
              <w:ind w:firstLine="0"/>
              <w:jc w:val="center"/>
              <w:rPr>
                <w:rFonts w:ascii="宋体" w:hAnsi="宋体" w:eastAsia="宋体"/>
                <w:sz w:val="21"/>
                <w:szCs w:val="21"/>
              </w:rPr>
            </w:pPr>
          </w:p>
        </w:tc>
        <w:tc>
          <w:tcPr>
            <w:tcW w:w="436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提供假信息/</w:t>
            </w:r>
            <w:r>
              <w:rPr>
                <w:rFonts w:ascii="宋体" w:hAnsi="宋体" w:eastAsia="宋体"/>
                <w:sz w:val="21"/>
                <w:szCs w:val="21"/>
              </w:rPr>
              <w:t>资料</w:t>
            </w:r>
            <w:r>
              <w:rPr>
                <w:rFonts w:ascii="宋体" w:hAnsi="宋体" w:eastAsia="宋体"/>
                <w:color w:val="000000"/>
                <w:sz w:val="21"/>
                <w:szCs w:val="21"/>
                <w:lang w:bidi="ar"/>
              </w:rPr>
              <w:t>，影响调查取证</w:t>
            </w:r>
          </w:p>
        </w:tc>
        <w:tc>
          <w:tcPr>
            <w:tcW w:w="1587"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46" w:type="dxa"/>
            <w:vMerge w:val="continue"/>
            <w:vAlign w:val="center"/>
          </w:tcPr>
          <w:p>
            <w:pPr>
              <w:spacing w:line="240" w:lineRule="auto"/>
              <w:ind w:firstLine="0"/>
              <w:jc w:val="center"/>
              <w:rPr>
                <w:rFonts w:ascii="宋体" w:hAnsi="宋体" w:eastAsia="宋体"/>
                <w:sz w:val="21"/>
                <w:szCs w:val="21"/>
              </w:rPr>
            </w:pPr>
          </w:p>
        </w:tc>
        <w:tc>
          <w:tcPr>
            <w:tcW w:w="436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伪造现场或证据</w:t>
            </w:r>
          </w:p>
        </w:tc>
        <w:tc>
          <w:tcPr>
            <w:tcW w:w="1587"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75%</w:t>
            </w:r>
          </w:p>
        </w:tc>
      </w:tr>
    </w:tbl>
    <w:p>
      <w:pPr>
        <w:spacing w:line="240" w:lineRule="auto"/>
        <w:ind w:firstLine="420" w:firstLineChars="200"/>
        <w:rPr>
          <w:rFonts w:hint="eastAsia" w:ascii="宋体" w:hAnsi="宋体" w:eastAsia="宋体"/>
          <w:sz w:val="21"/>
          <w:szCs w:val="21"/>
        </w:rPr>
      </w:pPr>
    </w:p>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固体废物污染环境防治法》第一百零三条规定的“违反本法规定，在接受监督检查时弄虚作假的，由生态环境主管部门或者其他负有固体废物污染环境防治监督管理职责的部门责令改正，处五万元以上二十万元以下的罚款；对直接负责的主管人员和其他直接责任人员，处二万元以上十万元以下的罚款”的情形。</w:t>
      </w:r>
    </w:p>
    <w:p>
      <w:pPr>
        <w:numPr>
          <w:ilvl w:val="0"/>
          <w:numId w:val="0"/>
        </w:numPr>
        <w:spacing w:line="240" w:lineRule="auto"/>
        <w:ind w:firstLine="420" w:firstLineChars="200"/>
        <w:rPr>
          <w:rFonts w:hint="default" w:ascii="宋体" w:hAnsi="宋体" w:eastAsia="宋体"/>
          <w:b w:val="0"/>
          <w:bCs w:val="0"/>
          <w:sz w:val="21"/>
          <w:szCs w:val="21"/>
          <w:lang w:val="en-US" w:eastAsia="zh-CN"/>
        </w:rPr>
      </w:pPr>
      <w:r>
        <w:rPr>
          <w:rFonts w:ascii="宋体" w:hAnsi="宋体" w:eastAsia="宋体"/>
          <w:sz w:val="21"/>
          <w:szCs w:val="21"/>
        </w:rPr>
        <w:t>2、对直接负责的主管人员和其他直接责任人员的罚款金额按照表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numPr>
          <w:ilvl w:val="0"/>
          <w:numId w:val="0"/>
        </w:numPr>
        <w:spacing w:line="240" w:lineRule="auto"/>
        <w:ind w:firstLine="420" w:firstLineChars="200"/>
        <w:rPr>
          <w:rFonts w:hint="default" w:ascii="宋体" w:hAnsi="宋体" w:eastAsia="宋体"/>
          <w:b w:val="0"/>
          <w:bCs w:val="0"/>
          <w:sz w:val="21"/>
          <w:szCs w:val="21"/>
          <w:lang w:val="en-US" w:eastAsia="zh-CN"/>
        </w:rPr>
      </w:pPr>
      <w:r>
        <w:rPr>
          <w:rFonts w:hint="eastAsia" w:ascii="宋体" w:hAnsi="宋体" w:eastAsia="宋体"/>
          <w:b w:val="0"/>
          <w:bCs w:val="0"/>
          <w:sz w:val="21"/>
          <w:szCs w:val="21"/>
          <w:lang w:val="en-US" w:eastAsia="zh-CN"/>
        </w:rPr>
        <w:t>3、法律法规等有其他规定的，从其规定。</w:t>
      </w:r>
    </w:p>
    <w:p>
      <w:pPr>
        <w:spacing w:line="240" w:lineRule="auto"/>
        <w:ind w:firstLine="420" w:firstLineChars="200"/>
        <w:rPr>
          <w:rFonts w:ascii="宋体" w:hAnsi="宋体" w:eastAsia="宋体"/>
          <w:sz w:val="21"/>
          <w:szCs w:val="21"/>
        </w:rPr>
      </w:pPr>
    </w:p>
    <w:p>
      <w:pPr>
        <w:ind w:firstLine="420" w:firstLineChars="200"/>
        <w:outlineLvl w:val="1"/>
        <w:rPr>
          <w:rFonts w:eastAsia="方正楷体_GBK"/>
          <w:b/>
          <w:bCs w:val="0"/>
          <w:szCs w:val="32"/>
        </w:rPr>
      </w:pPr>
      <w:r>
        <w:rPr>
          <w:rFonts w:ascii="宋体" w:hAnsi="宋体" w:eastAsia="宋体"/>
          <w:sz w:val="21"/>
          <w:szCs w:val="21"/>
        </w:rPr>
        <w:br w:type="page"/>
      </w:r>
      <w:bookmarkStart w:id="5" w:name="_Toc29004"/>
      <w:r>
        <w:rPr>
          <w:rFonts w:eastAsia="方正楷体_GBK"/>
          <w:b/>
          <w:bCs w:val="0"/>
          <w:szCs w:val="32"/>
        </w:rPr>
        <w:t>（五）通过逃避监管的方式排放污染物的行为</w:t>
      </w:r>
      <w:bookmarkEnd w:id="5"/>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表5-1  通过逃避监管方式排放污染物的裁量标准</w:t>
      </w:r>
    </w:p>
    <w:tbl>
      <w:tblPr>
        <w:tblStyle w:val="9"/>
        <w:tblW w:w="9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230"/>
        <w:gridCol w:w="4617"/>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30"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4617"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1439"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15"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违法行为表现形式</w:t>
            </w: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部分污染防治设施不正常运行</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整体污染防治设施不正常运行</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偷排</w:t>
            </w:r>
          </w:p>
        </w:tc>
        <w:tc>
          <w:tcPr>
            <w:tcW w:w="1439"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篡改、伪造监测数据</w:t>
            </w:r>
          </w:p>
        </w:tc>
        <w:tc>
          <w:tcPr>
            <w:tcW w:w="1439"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排放污染物种类</w:t>
            </w: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除有毒有害污染物以外的其他污染物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有毒有害污染物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w:t>
            </w:r>
          </w:p>
          <w:p>
            <w:pPr>
              <w:spacing w:line="240" w:lineRule="auto"/>
              <w:ind w:firstLine="0"/>
              <w:jc w:val="center"/>
              <w:rPr>
                <w:rFonts w:ascii="宋体" w:hAnsi="宋体" w:eastAsia="宋体"/>
                <w:sz w:val="21"/>
                <w:szCs w:val="21"/>
              </w:rPr>
            </w:pPr>
            <w:r>
              <w:rPr>
                <w:rFonts w:ascii="宋体" w:hAnsi="宋体" w:eastAsia="宋体"/>
                <w:sz w:val="21"/>
                <w:szCs w:val="21"/>
              </w:rPr>
              <w:t>时间</w:t>
            </w: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不足1天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1天以上不足5天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5天以上不足15天</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15天以上</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建设项目地点</w:t>
            </w:r>
          </w:p>
        </w:tc>
        <w:tc>
          <w:tcPr>
            <w:tcW w:w="4617" w:type="dxa"/>
            <w:vAlign w:val="center"/>
          </w:tcPr>
          <w:p>
            <w:pPr>
              <w:spacing w:line="240" w:lineRule="auto"/>
              <w:ind w:firstLine="0" w:firstLineChars="0"/>
              <w:rPr>
                <w:rFonts w:ascii="宋体" w:hAnsi="宋体" w:eastAsia="宋体"/>
                <w:sz w:val="21"/>
                <w:szCs w:val="21"/>
                <w:lang w:bidi="ar"/>
              </w:rPr>
            </w:pPr>
            <w:r>
              <w:rPr>
                <w:rFonts w:ascii="宋体" w:hAnsi="宋体" w:eastAsia="宋体"/>
                <w:color w:val="000000"/>
                <w:sz w:val="21"/>
                <w:szCs w:val="21"/>
                <w:lang w:bidi="ar"/>
              </w:rPr>
              <w:t>在生态保护红线区域外</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4"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color w:val="FF6600"/>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439"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color w:val="FF6600"/>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w:t>
            </w:r>
            <w:r>
              <w:rPr>
                <w:rFonts w:hint="eastAsia" w:ascii="宋体" w:hAnsi="宋体" w:eastAsia="宋体"/>
                <w:color w:val="000000"/>
                <w:sz w:val="21"/>
                <w:szCs w:val="21"/>
                <w:lang w:bidi="ar"/>
              </w:rPr>
              <w:t>5</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w:t>
            </w: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230"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17"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b/>
                <w:bCs/>
                <w:sz w:val="21"/>
                <w:szCs w:val="21"/>
              </w:rPr>
            </w:pPr>
          </w:p>
        </w:tc>
        <w:tc>
          <w:tcPr>
            <w:tcW w:w="2230" w:type="dxa"/>
            <w:vMerge w:val="continue"/>
            <w:vAlign w:val="center"/>
          </w:tcPr>
          <w:p>
            <w:pPr>
              <w:spacing w:line="240" w:lineRule="auto"/>
              <w:ind w:firstLine="0" w:firstLineChars="0"/>
              <w:jc w:val="center"/>
              <w:rPr>
                <w:rFonts w:ascii="宋体" w:hAnsi="宋体" w:eastAsia="宋体"/>
                <w:sz w:val="21"/>
                <w:szCs w:val="21"/>
              </w:rPr>
            </w:pPr>
          </w:p>
        </w:tc>
        <w:tc>
          <w:tcPr>
            <w:tcW w:w="4617"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大气污染防治法》第九十九条规定的“违反本法规定，有下列行为之一的，由县级以上人民政府生态环境主管部门责令改正或者限制生产、停产整治，并处十万元以上一百万元以下的罚款；情节严重的，报经有批准权的人民政府批准，责令停业、关闭：（三）通过逃避监管的方式排放大气污染物的”、《中华人民共和国水污染防治法》第八十三条规定“违反本法规定，有下列行为之一的，由县级以上人民政府环境保护主管部门责令改正或者责令限制生产、停产整治,并处十万元以上一百万元以下的罚款；情节严重的,报经有批准权的人民政府批准，责令停业、关闭：（三）利用渗井、渗坑、裂隙、溶洞，私设暗管，篡改、伪造监测数据、不正常运行水污染防治设施等逃避监管的方式排放水污染物的”的情形。</w:t>
      </w:r>
    </w:p>
    <w:p>
      <w:pPr>
        <w:spacing w:line="240" w:lineRule="auto"/>
        <w:ind w:firstLine="420" w:firstLineChars="200"/>
        <w:rPr>
          <w:rFonts w:ascii="宋体" w:hAnsi="宋体" w:eastAsia="宋体"/>
          <w:sz w:val="21"/>
          <w:szCs w:val="21"/>
        </w:rPr>
      </w:pPr>
      <w:r>
        <w:rPr>
          <w:rFonts w:ascii="宋体" w:hAnsi="宋体" w:eastAsia="宋体"/>
          <w:sz w:val="21"/>
          <w:szCs w:val="21"/>
        </w:rPr>
        <w:t>2、建设项目地点出现以下情形的，按照如下规则进行裁量：</w:t>
      </w:r>
    </w:p>
    <w:p>
      <w:pPr>
        <w:spacing w:line="240" w:lineRule="auto"/>
        <w:ind w:firstLine="420" w:firstLineChars="200"/>
        <w:rPr>
          <w:rFonts w:ascii="宋体" w:hAnsi="宋体" w:eastAsia="宋体"/>
          <w:sz w:val="21"/>
          <w:szCs w:val="21"/>
        </w:rPr>
      </w:pPr>
      <w:r>
        <w:rPr>
          <w:rFonts w:ascii="宋体" w:hAnsi="宋体" w:eastAsia="宋体"/>
          <w:sz w:val="21"/>
          <w:szCs w:val="21"/>
        </w:rPr>
        <w:t>（1）自然保护地未纳入生态保护红线区域的，按照自然保护地一般控制区进行裁量；</w:t>
      </w:r>
    </w:p>
    <w:p>
      <w:pPr>
        <w:spacing w:line="240" w:lineRule="auto"/>
        <w:ind w:firstLine="420" w:firstLineChars="200"/>
        <w:rPr>
          <w:rFonts w:ascii="宋体" w:hAnsi="宋体" w:eastAsia="宋体"/>
          <w:sz w:val="21"/>
          <w:szCs w:val="21"/>
        </w:rPr>
      </w:pPr>
      <w:r>
        <w:rPr>
          <w:rFonts w:ascii="宋体" w:hAnsi="宋体" w:eastAsia="宋体"/>
          <w:sz w:val="21"/>
          <w:szCs w:val="21"/>
        </w:rPr>
        <w:t>（2）饮用水水源准水源保护区纳入生态保护红线区域的，按照在生态保护红线区域内（除自然保护地核心保护区外）进行裁量；饮用水水源准水源保护区未纳入生态保护红线区域的，按照在生态保护红线区域外进行裁量；</w:t>
      </w:r>
    </w:p>
    <w:p>
      <w:pPr>
        <w:spacing w:line="240" w:lineRule="auto"/>
        <w:ind w:firstLine="420" w:firstLineChars="200"/>
        <w:rPr>
          <w:rFonts w:ascii="宋体" w:hAnsi="宋体" w:eastAsia="宋体"/>
          <w:sz w:val="21"/>
          <w:szCs w:val="21"/>
        </w:rPr>
      </w:pPr>
      <w:r>
        <w:rPr>
          <w:rFonts w:ascii="宋体" w:hAnsi="宋体" w:eastAsia="宋体"/>
          <w:sz w:val="21"/>
          <w:szCs w:val="21"/>
        </w:rPr>
        <w:t>（3）如同时满足不同分类要求的，选择裁量百分值较重的类别进行裁量。</w:t>
      </w:r>
    </w:p>
    <w:p>
      <w:pPr>
        <w:spacing w:line="240" w:lineRule="auto"/>
        <w:ind w:firstLine="420" w:firstLineChars="200"/>
        <w:rPr>
          <w:rFonts w:ascii="宋体" w:hAnsi="宋体" w:eastAsia="宋体"/>
          <w:sz w:val="21"/>
          <w:szCs w:val="21"/>
        </w:rPr>
      </w:pPr>
      <w:r>
        <w:rPr>
          <w:rFonts w:ascii="宋体" w:hAnsi="宋体" w:eastAsia="宋体"/>
          <w:sz w:val="21"/>
          <w:szCs w:val="21"/>
        </w:rPr>
        <w:t>3、本表所称的“以上”包括本数，“不足”不包括本数。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4、环境违法次数（两年内、含本次）指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5</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ind w:firstLine="420" w:firstLineChars="200"/>
        <w:outlineLvl w:val="1"/>
        <w:rPr>
          <w:rFonts w:ascii="宋体" w:hAnsi="宋体" w:eastAsia="宋体"/>
          <w:sz w:val="21"/>
          <w:szCs w:val="21"/>
        </w:rPr>
      </w:pPr>
    </w:p>
    <w:p>
      <w:pPr>
        <w:ind w:firstLine="420" w:firstLineChars="200"/>
        <w:outlineLvl w:val="1"/>
        <w:rPr>
          <w:rFonts w:ascii="宋体" w:hAnsi="宋体" w:eastAsia="宋体"/>
          <w:sz w:val="21"/>
          <w:szCs w:val="21"/>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表5-2  通过逃避监管方式排放污染物的裁量标准</w:t>
      </w:r>
    </w:p>
    <w:tbl>
      <w:tblPr>
        <w:tblStyle w:val="9"/>
        <w:tblW w:w="90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230"/>
        <w:gridCol w:w="4617"/>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30"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4617"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1439"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15"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439"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2</w:t>
            </w: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违法行为表现形式</w:t>
            </w: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部分污染防治设施不正常运行</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整体污染防治设施不正常运行</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偷排</w:t>
            </w:r>
          </w:p>
        </w:tc>
        <w:tc>
          <w:tcPr>
            <w:tcW w:w="1439"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篡改、伪造监测数据</w:t>
            </w:r>
          </w:p>
        </w:tc>
        <w:tc>
          <w:tcPr>
            <w:tcW w:w="1439"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排放污染物种类</w:t>
            </w: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除有毒有害污染物以外的其他污染物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有毒有害污染物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w:t>
            </w:r>
          </w:p>
          <w:p>
            <w:pPr>
              <w:spacing w:line="240" w:lineRule="auto"/>
              <w:ind w:firstLine="0"/>
              <w:jc w:val="center"/>
              <w:rPr>
                <w:rFonts w:ascii="宋体" w:hAnsi="宋体" w:eastAsia="宋体"/>
                <w:sz w:val="21"/>
                <w:szCs w:val="21"/>
              </w:rPr>
            </w:pPr>
            <w:r>
              <w:rPr>
                <w:rFonts w:ascii="宋体" w:hAnsi="宋体" w:eastAsia="宋体"/>
                <w:sz w:val="21"/>
                <w:szCs w:val="21"/>
              </w:rPr>
              <w:t>时间</w:t>
            </w: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不足1天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1天以上不足5天</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5天以上不足15天</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15天以上</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建设项目地点</w:t>
            </w:r>
          </w:p>
        </w:tc>
        <w:tc>
          <w:tcPr>
            <w:tcW w:w="4617" w:type="dxa"/>
            <w:vAlign w:val="center"/>
          </w:tcPr>
          <w:p>
            <w:pPr>
              <w:spacing w:line="240" w:lineRule="auto"/>
              <w:ind w:firstLine="0" w:firstLineChars="0"/>
              <w:rPr>
                <w:rFonts w:ascii="宋体" w:hAnsi="宋体" w:eastAsia="宋体"/>
                <w:sz w:val="21"/>
                <w:szCs w:val="21"/>
                <w:lang w:bidi="ar"/>
              </w:rPr>
            </w:pPr>
            <w:r>
              <w:rPr>
                <w:rFonts w:ascii="宋体" w:hAnsi="宋体" w:eastAsia="宋体"/>
                <w:color w:val="000000"/>
                <w:sz w:val="21"/>
                <w:szCs w:val="21"/>
                <w:lang w:bidi="ar"/>
              </w:rPr>
              <w:t>在生态保护红线区域外</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4"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color w:val="FF6600"/>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439"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color w:val="FF6600"/>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1439"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w:t>
            </w:r>
            <w:r>
              <w:rPr>
                <w:rFonts w:hint="eastAsia" w:ascii="宋体" w:hAnsi="宋体" w:eastAsia="宋体"/>
                <w:color w:val="000000"/>
                <w:sz w:val="21"/>
                <w:szCs w:val="21"/>
                <w:lang w:bidi="ar"/>
              </w:rPr>
              <w:t>5</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439"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4</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sz w:val="21"/>
                <w:szCs w:val="21"/>
              </w:rPr>
            </w:pPr>
          </w:p>
        </w:tc>
        <w:tc>
          <w:tcPr>
            <w:tcW w:w="2230" w:type="dxa"/>
            <w:vMerge w:val="continue"/>
            <w:vAlign w:val="center"/>
          </w:tcPr>
          <w:p>
            <w:pPr>
              <w:spacing w:line="240" w:lineRule="auto"/>
              <w:ind w:firstLine="0"/>
              <w:jc w:val="center"/>
              <w:rPr>
                <w:rFonts w:ascii="宋体" w:hAnsi="宋体" w:eastAsia="宋体"/>
                <w:sz w:val="21"/>
                <w:szCs w:val="21"/>
              </w:rPr>
            </w:pPr>
          </w:p>
        </w:tc>
        <w:tc>
          <w:tcPr>
            <w:tcW w:w="461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39" w:type="dxa"/>
            <w:vAlign w:val="center"/>
          </w:tcPr>
          <w:p>
            <w:pPr>
              <w:spacing w:line="240" w:lineRule="auto"/>
              <w:ind w:firstLine="0"/>
              <w:jc w:val="center"/>
              <w:rPr>
                <w:rFonts w:ascii="宋体" w:hAnsi="宋体" w:eastAsia="宋体"/>
                <w:color w:val="000000"/>
                <w:sz w:val="21"/>
                <w:szCs w:val="21"/>
                <w:lang w:bidi="ar"/>
              </w:rPr>
            </w:pPr>
            <w:r>
              <w:rPr>
                <w:rFonts w:hint="eastAsia" w:ascii="宋体" w:hAnsi="宋体" w:eastAsia="宋体"/>
                <w:color w:val="000000"/>
                <w:sz w:val="21"/>
                <w:szCs w:val="21"/>
                <w:lang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230"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17"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68" w:type="dxa"/>
            <w:vMerge w:val="continue"/>
            <w:vAlign w:val="center"/>
          </w:tcPr>
          <w:p>
            <w:pPr>
              <w:spacing w:line="240" w:lineRule="auto"/>
              <w:ind w:firstLine="0"/>
              <w:jc w:val="center"/>
              <w:rPr>
                <w:rFonts w:ascii="宋体" w:hAnsi="宋体" w:eastAsia="宋体"/>
                <w:b/>
                <w:bCs/>
                <w:sz w:val="21"/>
                <w:szCs w:val="21"/>
              </w:rPr>
            </w:pPr>
          </w:p>
        </w:tc>
        <w:tc>
          <w:tcPr>
            <w:tcW w:w="2230" w:type="dxa"/>
            <w:vMerge w:val="continue"/>
            <w:vAlign w:val="center"/>
          </w:tcPr>
          <w:p>
            <w:pPr>
              <w:spacing w:line="240" w:lineRule="auto"/>
              <w:ind w:firstLine="0" w:firstLineChars="0"/>
              <w:jc w:val="center"/>
              <w:rPr>
                <w:rFonts w:ascii="宋体" w:hAnsi="宋体" w:eastAsia="宋体"/>
                <w:sz w:val="21"/>
                <w:szCs w:val="21"/>
              </w:rPr>
            </w:pPr>
          </w:p>
        </w:tc>
        <w:tc>
          <w:tcPr>
            <w:tcW w:w="4617"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39"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w:t>
      </w:r>
      <w:r>
        <w:rPr>
          <w:rFonts w:hint="eastAsia" w:ascii="宋体" w:hAnsi="宋体" w:eastAsia="宋体"/>
          <w:sz w:val="21"/>
          <w:szCs w:val="21"/>
          <w:lang w:val="en-US" w:eastAsia="zh-CN"/>
        </w:rPr>
        <w:t>排污许可管理条例</w:t>
      </w:r>
      <w:r>
        <w:rPr>
          <w:rFonts w:ascii="宋体" w:hAnsi="宋体" w:eastAsia="宋体"/>
          <w:sz w:val="21"/>
          <w:szCs w:val="21"/>
        </w:rPr>
        <w:t>》</w:t>
      </w:r>
      <w:r>
        <w:rPr>
          <w:rFonts w:hint="eastAsia" w:ascii="宋体" w:hAnsi="宋体" w:eastAsia="宋体"/>
          <w:sz w:val="21"/>
          <w:szCs w:val="21"/>
        </w:rPr>
        <w:t>第三十四条</w:t>
      </w:r>
      <w:r>
        <w:rPr>
          <w:rFonts w:ascii="宋体" w:hAnsi="宋体" w:eastAsia="宋体"/>
          <w:sz w:val="21"/>
          <w:szCs w:val="21"/>
        </w:rPr>
        <w:t>规定的“</w:t>
      </w:r>
      <w:r>
        <w:rPr>
          <w:rFonts w:hint="eastAsia" w:ascii="宋体" w:hAnsi="宋体" w:eastAsia="宋体"/>
          <w:sz w:val="21"/>
          <w:szCs w:val="21"/>
        </w:rPr>
        <w:t>违反本条例规定，排污单位有下列行为之一的，由生态环境主管部门责令改正或者限制生产、停产整治，处20万元以上100万元以下的罚款；情节严重的，吊销排污许可证，报经有批准权的人民政府批准，责令停业、关闭：（二）通过暗管、渗井、渗坑、灌注或者篡改、伪造监测数据，或者不正常运行污染防治设施等逃避监管的方式违法排放污染物</w:t>
      </w:r>
      <w:r>
        <w:rPr>
          <w:rFonts w:ascii="宋体" w:hAnsi="宋体" w:eastAsia="宋体"/>
          <w:sz w:val="21"/>
          <w:szCs w:val="21"/>
        </w:rPr>
        <w:t>”的情形。</w:t>
      </w:r>
    </w:p>
    <w:p>
      <w:pPr>
        <w:spacing w:line="240" w:lineRule="auto"/>
        <w:ind w:firstLine="420" w:firstLineChars="200"/>
        <w:rPr>
          <w:rFonts w:ascii="宋体" w:hAnsi="宋体" w:eastAsia="宋体"/>
          <w:sz w:val="21"/>
          <w:szCs w:val="21"/>
        </w:rPr>
      </w:pPr>
      <w:r>
        <w:rPr>
          <w:rFonts w:ascii="宋体" w:hAnsi="宋体" w:eastAsia="宋体"/>
          <w:sz w:val="21"/>
          <w:szCs w:val="21"/>
        </w:rPr>
        <w:t>2、建设项目地点出现以下情形的，按照如下规则进行裁量：</w:t>
      </w:r>
    </w:p>
    <w:p>
      <w:pPr>
        <w:spacing w:line="240" w:lineRule="auto"/>
        <w:ind w:firstLine="420" w:firstLineChars="200"/>
        <w:rPr>
          <w:rFonts w:ascii="宋体" w:hAnsi="宋体" w:eastAsia="宋体"/>
          <w:sz w:val="21"/>
          <w:szCs w:val="21"/>
        </w:rPr>
      </w:pPr>
      <w:r>
        <w:rPr>
          <w:rFonts w:ascii="宋体" w:hAnsi="宋体" w:eastAsia="宋体"/>
          <w:sz w:val="21"/>
          <w:szCs w:val="21"/>
        </w:rPr>
        <w:t>（1）自然保护地未纳入生态保护红线区域的，按照自然保护地一般控制区进行裁量；</w:t>
      </w:r>
    </w:p>
    <w:p>
      <w:pPr>
        <w:spacing w:line="240" w:lineRule="auto"/>
        <w:ind w:firstLine="420" w:firstLineChars="200"/>
        <w:rPr>
          <w:rFonts w:ascii="宋体" w:hAnsi="宋体" w:eastAsia="宋体"/>
          <w:b w:val="0"/>
          <w:bCs w:val="0"/>
          <w:sz w:val="21"/>
          <w:szCs w:val="21"/>
        </w:rPr>
      </w:pPr>
      <w:r>
        <w:rPr>
          <w:rFonts w:ascii="宋体" w:hAnsi="宋体" w:eastAsia="宋体"/>
          <w:sz w:val="21"/>
          <w:szCs w:val="21"/>
        </w:rPr>
        <w:t>（2）饮用水水源准水源保护区纳入生态保护红线区域的，按照在生态保护红线区域内（除自然保护地核心保护区外）进行裁量；饮用水水源准水源保护区未纳入生态保护红线区域的，按照在生态保护红线</w:t>
      </w:r>
      <w:r>
        <w:rPr>
          <w:rFonts w:ascii="宋体" w:hAnsi="宋体" w:eastAsia="宋体"/>
          <w:b w:val="0"/>
          <w:bCs w:val="0"/>
          <w:sz w:val="21"/>
          <w:szCs w:val="21"/>
        </w:rPr>
        <w:t>区域外进行裁量；</w:t>
      </w:r>
    </w:p>
    <w:p>
      <w:pPr>
        <w:spacing w:line="240" w:lineRule="auto"/>
        <w:ind w:firstLine="420" w:firstLineChars="200"/>
        <w:rPr>
          <w:rFonts w:ascii="宋体" w:hAnsi="宋体" w:eastAsia="宋体"/>
          <w:b w:val="0"/>
          <w:bCs w:val="0"/>
          <w:sz w:val="21"/>
          <w:szCs w:val="21"/>
        </w:rPr>
      </w:pPr>
      <w:r>
        <w:rPr>
          <w:rFonts w:ascii="宋体" w:hAnsi="宋体" w:eastAsia="宋体"/>
          <w:b w:val="0"/>
          <w:bCs w:val="0"/>
          <w:sz w:val="21"/>
          <w:szCs w:val="21"/>
        </w:rPr>
        <w:t>（3）如同时满足不同分类要求的，选择裁量百分值较重的类别进行裁量。</w:t>
      </w:r>
    </w:p>
    <w:p>
      <w:pPr>
        <w:spacing w:line="240" w:lineRule="auto"/>
        <w:ind w:firstLine="420" w:firstLineChars="200"/>
        <w:rPr>
          <w:rFonts w:ascii="宋体" w:hAnsi="宋体" w:eastAsia="宋体"/>
          <w:sz w:val="21"/>
          <w:szCs w:val="21"/>
        </w:rPr>
      </w:pPr>
      <w:r>
        <w:rPr>
          <w:rFonts w:ascii="宋体" w:hAnsi="宋体" w:eastAsia="宋体"/>
          <w:b w:val="0"/>
          <w:bCs w:val="0"/>
          <w:sz w:val="21"/>
          <w:szCs w:val="21"/>
        </w:rPr>
        <w:t>3、本表所称的“以上”包括本</w:t>
      </w:r>
      <w:r>
        <w:rPr>
          <w:rFonts w:ascii="宋体" w:hAnsi="宋体" w:eastAsia="宋体"/>
          <w:sz w:val="21"/>
          <w:szCs w:val="21"/>
        </w:rPr>
        <w:t>数，“不足”不包括本数。</w:t>
      </w:r>
    </w:p>
    <w:p>
      <w:pPr>
        <w:spacing w:line="240" w:lineRule="auto"/>
        <w:ind w:firstLine="420" w:firstLineChars="200"/>
        <w:rPr>
          <w:rFonts w:ascii="宋体" w:hAnsi="宋体" w:eastAsia="宋体"/>
          <w:b w:val="0"/>
          <w:bCs w:val="0"/>
          <w:sz w:val="21"/>
          <w:szCs w:val="21"/>
        </w:rPr>
      </w:pPr>
      <w:r>
        <w:rPr>
          <w:rFonts w:ascii="宋体" w:hAnsi="宋体" w:eastAsia="宋体"/>
          <w:sz w:val="21"/>
          <w:szCs w:val="21"/>
        </w:rPr>
        <w:t>4、环境违法次数（两年内、含本次）指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w:t>
      </w:r>
      <w:r>
        <w:rPr>
          <w:rFonts w:ascii="宋体" w:hAnsi="宋体" w:eastAsia="宋体"/>
          <w:b w:val="0"/>
          <w:bCs w:val="0"/>
          <w:sz w:val="21"/>
          <w:szCs w:val="21"/>
        </w:rPr>
        <w:t>溯两年发生的环境违法行为次数。对同一</w:t>
      </w:r>
      <w:r>
        <w:rPr>
          <w:rFonts w:hint="eastAsia" w:ascii="宋体" w:hAnsi="宋体" w:eastAsia="宋体"/>
          <w:b w:val="0"/>
          <w:bCs w:val="0"/>
          <w:sz w:val="21"/>
          <w:szCs w:val="21"/>
          <w:lang w:eastAsia="zh-CN"/>
        </w:rPr>
        <w:t>当事人</w:t>
      </w:r>
      <w:r>
        <w:rPr>
          <w:rFonts w:ascii="宋体" w:hAnsi="宋体" w:eastAsia="宋体"/>
          <w:b w:val="0"/>
          <w:bCs w:val="0"/>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5</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outlineLvl w:val="9"/>
        <w:rPr>
          <w:rFonts w:eastAsia="方正楷体_GBK"/>
          <w:b/>
          <w:bCs w:val="0"/>
          <w:szCs w:val="32"/>
        </w:rPr>
      </w:pPr>
      <w:r>
        <w:rPr>
          <w:rFonts w:ascii="宋体" w:hAnsi="宋体" w:eastAsia="宋体"/>
          <w:sz w:val="21"/>
          <w:szCs w:val="21"/>
        </w:rPr>
        <w:br w:type="page"/>
      </w:r>
      <w:r>
        <w:rPr>
          <w:rFonts w:eastAsia="方正楷体_GBK"/>
          <w:b/>
          <w:bCs w:val="0"/>
          <w:szCs w:val="32"/>
        </w:rPr>
        <w:t>（六）违反大气污染防治管理制度的行为</w:t>
      </w: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表6-1 排放大气污染物超过排放标准（有组织排放）的裁量标准</w:t>
      </w:r>
    </w:p>
    <w:tbl>
      <w:tblPr>
        <w:tblStyle w:val="9"/>
        <w:tblW w:w="89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823"/>
        <w:gridCol w:w="4695"/>
        <w:gridCol w:w="1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8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182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69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0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03"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506"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数目</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1个</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2个</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3个以上</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种类</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除有毒有害大气污染物之外的大气污染物</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有毒有害大气污染物</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3</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超标状况</w:t>
            </w:r>
          </w:p>
          <w:p>
            <w:pPr>
              <w:spacing w:line="240" w:lineRule="auto"/>
              <w:ind w:firstLine="0"/>
              <w:jc w:val="center"/>
              <w:rPr>
                <w:rFonts w:ascii="宋体" w:hAnsi="宋体" w:eastAsia="宋体"/>
                <w:sz w:val="21"/>
                <w:szCs w:val="21"/>
              </w:rPr>
            </w:pPr>
            <w:r>
              <w:rPr>
                <w:rFonts w:ascii="宋体" w:hAnsi="宋体" w:eastAsia="宋体"/>
                <w:sz w:val="21"/>
                <w:szCs w:val="21"/>
              </w:rPr>
              <w:t>（超标最严重的污染因子）</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超过污染物排放标准不足50%</w:t>
            </w:r>
          </w:p>
          <w:p>
            <w:pPr>
              <w:spacing w:line="240" w:lineRule="auto"/>
              <w:ind w:firstLine="0"/>
              <w:rPr>
                <w:rFonts w:ascii="宋体" w:hAnsi="宋体" w:eastAsia="宋体"/>
                <w:sz w:val="21"/>
                <w:szCs w:val="21"/>
              </w:rPr>
            </w:pPr>
            <w:r>
              <w:rPr>
                <w:rFonts w:ascii="宋体" w:hAnsi="宋体" w:eastAsia="宋体"/>
                <w:sz w:val="21"/>
                <w:szCs w:val="21"/>
              </w:rPr>
              <w:t>林格曼黑度1级</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超过污染物排放标准50%以上不足100%</w:t>
            </w:r>
          </w:p>
          <w:p>
            <w:pPr>
              <w:spacing w:line="240" w:lineRule="auto"/>
              <w:ind w:firstLine="0"/>
              <w:rPr>
                <w:rFonts w:ascii="宋体" w:hAnsi="宋体" w:eastAsia="宋体"/>
                <w:sz w:val="21"/>
                <w:szCs w:val="21"/>
              </w:rPr>
            </w:pPr>
            <w:r>
              <w:rPr>
                <w:rFonts w:ascii="宋体" w:hAnsi="宋体" w:eastAsia="宋体"/>
                <w:sz w:val="21"/>
                <w:szCs w:val="21"/>
              </w:rPr>
              <w:t>林格曼黑度2级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超过污染物排放标准100%以上不足300%</w:t>
            </w:r>
          </w:p>
          <w:p>
            <w:pPr>
              <w:spacing w:line="240" w:lineRule="auto"/>
              <w:ind w:firstLine="0"/>
              <w:rPr>
                <w:rFonts w:ascii="宋体" w:hAnsi="宋体" w:eastAsia="宋体"/>
                <w:sz w:val="21"/>
                <w:szCs w:val="21"/>
              </w:rPr>
            </w:pPr>
            <w:r>
              <w:rPr>
                <w:rFonts w:ascii="宋体" w:hAnsi="宋体" w:eastAsia="宋体"/>
                <w:sz w:val="21"/>
                <w:szCs w:val="21"/>
              </w:rPr>
              <w:t>林格曼黑度3级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超过污染物排放标准300%以上不足500%</w:t>
            </w:r>
          </w:p>
          <w:p>
            <w:pPr>
              <w:spacing w:line="240" w:lineRule="auto"/>
              <w:ind w:firstLine="0"/>
              <w:rPr>
                <w:rFonts w:ascii="宋体" w:hAnsi="宋体" w:eastAsia="宋体"/>
                <w:sz w:val="21"/>
                <w:szCs w:val="21"/>
              </w:rPr>
            </w:pPr>
            <w:r>
              <w:rPr>
                <w:rFonts w:ascii="宋体" w:hAnsi="宋体" w:eastAsia="宋体"/>
                <w:sz w:val="21"/>
                <w:szCs w:val="21"/>
              </w:rPr>
              <w:t>林格曼黑度4级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rPr>
              <w:t>超标500%以上</w:t>
            </w:r>
          </w:p>
          <w:p>
            <w:pPr>
              <w:spacing w:line="240" w:lineRule="auto"/>
              <w:ind w:firstLine="0"/>
              <w:rPr>
                <w:rFonts w:ascii="宋体" w:hAnsi="宋体" w:eastAsia="宋体"/>
                <w:sz w:val="21"/>
                <w:szCs w:val="21"/>
              </w:rPr>
            </w:pPr>
            <w:r>
              <w:rPr>
                <w:rFonts w:ascii="宋体" w:hAnsi="宋体" w:eastAsia="宋体"/>
                <w:sz w:val="21"/>
                <w:szCs w:val="21"/>
              </w:rPr>
              <w:t>林格曼黑度5级</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小时排气流量</w:t>
            </w: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不足1000标立方米</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1000标立方米以上不足1万标立方米</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1万标立方米以上不足5万标立方米</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5万标立方米以上不足10万标立方米</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10万标立方米以上</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排放区域</w:t>
            </w: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二类功能区（工业区）</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二类功能区（居民区、商业交通居民混合区、文化区、农村地区）</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一类功能区</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大气超标排放时期敏感度</w:t>
            </w: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一般期间</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特殊或重大活动期间</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重污染天气预警期间</w:t>
            </w:r>
          </w:p>
        </w:tc>
        <w:tc>
          <w:tcPr>
            <w:tcW w:w="150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182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50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1506"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jc w:val="center"/>
              <w:rPr>
                <w:rFonts w:ascii="宋体" w:hAnsi="宋体" w:eastAsia="宋体"/>
                <w:sz w:val="21"/>
                <w:szCs w:val="21"/>
              </w:rPr>
            </w:pPr>
          </w:p>
        </w:tc>
        <w:tc>
          <w:tcPr>
            <w:tcW w:w="469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06"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c>
          <w:tcPr>
            <w:tcW w:w="1823"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95"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506"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85" w:type="dxa"/>
            <w:vMerge w:val="continue"/>
            <w:vAlign w:val="center"/>
          </w:tcPr>
          <w:p>
            <w:pPr>
              <w:spacing w:line="240" w:lineRule="auto"/>
              <w:ind w:firstLine="0"/>
              <w:jc w:val="center"/>
              <w:rPr>
                <w:rFonts w:ascii="宋体" w:hAnsi="宋体" w:eastAsia="宋体"/>
                <w:b/>
                <w:bCs/>
                <w:sz w:val="21"/>
                <w:szCs w:val="21"/>
              </w:rPr>
            </w:pPr>
          </w:p>
        </w:tc>
        <w:tc>
          <w:tcPr>
            <w:tcW w:w="1823" w:type="dxa"/>
            <w:vMerge w:val="continue"/>
            <w:vAlign w:val="center"/>
          </w:tcPr>
          <w:p>
            <w:pPr>
              <w:spacing w:line="240" w:lineRule="auto"/>
              <w:ind w:firstLine="0" w:firstLineChars="0"/>
              <w:jc w:val="center"/>
              <w:rPr>
                <w:rFonts w:ascii="宋体" w:hAnsi="宋体" w:eastAsia="宋体"/>
                <w:sz w:val="21"/>
                <w:szCs w:val="21"/>
              </w:rPr>
            </w:pPr>
          </w:p>
        </w:tc>
        <w:tc>
          <w:tcPr>
            <w:tcW w:w="4695" w:type="dxa"/>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506"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5%</w:t>
            </w:r>
          </w:p>
        </w:tc>
      </w:tr>
    </w:tbl>
    <w:p>
      <w:pPr>
        <w:spacing w:line="240" w:lineRule="auto"/>
        <w:ind w:firstLine="420" w:firstLineChars="200"/>
        <w:rPr>
          <w:rFonts w:hint="eastAsia" w:ascii="宋体" w:hAnsi="宋体" w:eastAsia="宋体"/>
          <w:sz w:val="21"/>
          <w:szCs w:val="21"/>
          <w:lang w:eastAsia="zh-CN"/>
        </w:rPr>
      </w:pPr>
      <w:r>
        <w:rPr>
          <w:rFonts w:ascii="宋体" w:hAnsi="宋体" w:eastAsia="宋体"/>
          <w:sz w:val="21"/>
          <w:szCs w:val="21"/>
        </w:rPr>
        <w:t>注：1、本表适用于《中华人民共和国大气污染防治法》第九十九条规定“违反本法规定，有下列行为之一的，由县级以上人民政府生态环境主管部门责令改正或者限制生产、停产整治，并处十万元以上一百万元以下的罚款；情节严重的，报经有批准权的人民政府批准，责令停业、关闭：（二）超过大气污染物排放标准</w:t>
      </w:r>
      <w:r>
        <w:rPr>
          <w:rFonts w:hint="eastAsia" w:ascii="宋体" w:hAnsi="宋体" w:eastAsia="宋体"/>
          <w:sz w:val="21"/>
          <w:szCs w:val="21"/>
          <w:lang w:eastAsia="zh-CN"/>
        </w:rPr>
        <w:t>……</w:t>
      </w:r>
      <w:r>
        <w:rPr>
          <w:rFonts w:ascii="宋体" w:hAnsi="宋体" w:eastAsia="宋体"/>
          <w:sz w:val="21"/>
          <w:szCs w:val="21"/>
        </w:rPr>
        <w:t>”</w:t>
      </w:r>
      <w:r>
        <w:rPr>
          <w:rFonts w:hint="eastAsia" w:ascii="宋体" w:hAnsi="宋体" w:eastAsia="宋体"/>
          <w:sz w:val="21"/>
          <w:szCs w:val="21"/>
          <w:lang w:eastAsia="zh-CN"/>
        </w:rPr>
        <w:t>。</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本表不适用于企业厂区内及厂界大气污染物超标的情形。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超标状况是指对于同一排放口，选取超标倍数最大的污染因子。</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小时排气流量数据以环境监测（检测）报告为准。</w:t>
      </w:r>
    </w:p>
    <w:p>
      <w:pPr>
        <w:spacing w:line="240" w:lineRule="auto"/>
        <w:ind w:firstLine="420" w:firstLineChars="200"/>
        <w:rPr>
          <w:rFonts w:ascii="宋体" w:hAnsi="宋体" w:eastAsia="宋体"/>
          <w:sz w:val="21"/>
          <w:szCs w:val="21"/>
        </w:rPr>
      </w:pPr>
      <w:r>
        <w:rPr>
          <w:rFonts w:hint="eastAsia" w:ascii="宋体" w:hAnsi="宋体" w:eastAsia="宋体"/>
          <w:sz w:val="21"/>
          <w:szCs w:val="21"/>
        </w:rPr>
        <w:t>5、</w:t>
      </w:r>
      <w:r>
        <w:rPr>
          <w:rFonts w:ascii="宋体" w:hAnsi="宋体" w:eastAsia="宋体"/>
          <w:sz w:val="21"/>
          <w:szCs w:val="21"/>
        </w:rPr>
        <w:t>一类功能区、二类功能区的划分按照《环境空气质量标准（GB3095-2012）》的规定执行。</w:t>
      </w:r>
    </w:p>
    <w:p>
      <w:pPr>
        <w:spacing w:line="240" w:lineRule="auto"/>
        <w:ind w:firstLine="420" w:firstLineChars="200"/>
        <w:rPr>
          <w:rFonts w:ascii="宋体" w:hAnsi="宋体" w:eastAsia="宋体"/>
          <w:sz w:val="21"/>
          <w:szCs w:val="21"/>
        </w:rPr>
      </w:pPr>
      <w:r>
        <w:rPr>
          <w:rFonts w:hint="eastAsia" w:ascii="宋体" w:hAnsi="宋体" w:eastAsia="宋体"/>
          <w:sz w:val="21"/>
          <w:szCs w:val="21"/>
        </w:rPr>
        <w:t>6、</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7、</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8</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9</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640" w:firstLineChars="200"/>
      </w:pPr>
    </w:p>
    <w:p>
      <w:pPr>
        <w:rPr>
          <w:rFonts w:eastAsia="方正楷体_GBK"/>
          <w:bCs/>
          <w:sz w:val="28"/>
          <w:szCs w:val="28"/>
        </w:rPr>
      </w:pPr>
      <w:r>
        <w:rPr>
          <w:rFonts w:ascii="宋体" w:hAnsi="宋体" w:eastAsia="宋体"/>
          <w:sz w:val="21"/>
          <w:szCs w:val="21"/>
        </w:rPr>
        <w:br w:type="page"/>
      </w:r>
      <w:r>
        <w:rPr>
          <w:rFonts w:hint="eastAsia" w:ascii="华文仿宋" w:hAnsi="华文仿宋" w:eastAsia="华文仿宋" w:cs="华文仿宋"/>
          <w:snapToGrid w:val="0"/>
          <w:sz w:val="28"/>
          <w:szCs w:val="18"/>
          <w:lang w:val="en-US" w:eastAsia="zh-CN" w:bidi="ar-SA"/>
        </w:rPr>
        <w:t>表6-2 排放大气污染物超过排放标准（无组织排放）的裁量标准</w:t>
      </w:r>
    </w:p>
    <w:tbl>
      <w:tblPr>
        <w:tblStyle w:val="9"/>
        <w:tblW w:w="90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237"/>
        <w:gridCol w:w="4578"/>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0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37"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578"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482"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521"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482"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超标污染物数目</w:t>
            </w: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1个</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2个</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3个以上</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超标污染物种类</w:t>
            </w: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除有毒有害大气污染物之外的大气污染物</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有毒有害大气污染物</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3</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超标状况</w:t>
            </w:r>
          </w:p>
          <w:p>
            <w:pPr>
              <w:spacing w:line="240" w:lineRule="auto"/>
              <w:ind w:firstLine="0"/>
              <w:jc w:val="center"/>
              <w:rPr>
                <w:rFonts w:ascii="宋体" w:hAnsi="宋体" w:eastAsia="宋体"/>
                <w:sz w:val="21"/>
                <w:szCs w:val="21"/>
              </w:rPr>
            </w:pPr>
            <w:r>
              <w:rPr>
                <w:rFonts w:ascii="宋体" w:hAnsi="宋体" w:eastAsia="宋体"/>
                <w:sz w:val="21"/>
                <w:szCs w:val="21"/>
              </w:rPr>
              <w:t>（超标最严重的污染因子）</w:t>
            </w: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超过污染物排放标准不足50%</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超过污染物排放标准50%以上不足100%</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超过污染物排放标准100%以上不足300%</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超过污染物排放标准300%以上不足500%</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rPr>
            </w:pPr>
            <w:r>
              <w:rPr>
                <w:rFonts w:ascii="宋体" w:hAnsi="宋体" w:eastAsia="宋体"/>
                <w:sz w:val="21"/>
                <w:szCs w:val="21"/>
              </w:rPr>
              <w:t>超过污染物排放标准500%以上</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排放区域</w:t>
            </w: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二类功能区（工业区）</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二类功能区（居民区、商业交通居民混合区、文化区、农村地区）</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一类功能区</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大气超标排放时期敏感度</w:t>
            </w: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一般期间</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特殊或重大活动期间</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重污染天气预警期间</w:t>
            </w:r>
          </w:p>
        </w:tc>
        <w:tc>
          <w:tcPr>
            <w:tcW w:w="148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b/>
                <w:bCs/>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48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b/>
                <w:bCs/>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3次</w:t>
            </w:r>
          </w:p>
        </w:tc>
        <w:tc>
          <w:tcPr>
            <w:tcW w:w="148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b/>
                <w:bCs/>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4578"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8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2237"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578"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48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706" w:type="dxa"/>
            <w:vMerge w:val="continue"/>
            <w:vAlign w:val="center"/>
          </w:tcPr>
          <w:p>
            <w:pPr>
              <w:spacing w:line="240" w:lineRule="auto"/>
              <w:ind w:firstLine="0"/>
              <w:jc w:val="center"/>
              <w:rPr>
                <w:rFonts w:ascii="宋体" w:hAnsi="宋体" w:eastAsia="宋体"/>
                <w:b/>
                <w:bCs/>
                <w:sz w:val="21"/>
                <w:szCs w:val="21"/>
              </w:rPr>
            </w:pPr>
          </w:p>
        </w:tc>
        <w:tc>
          <w:tcPr>
            <w:tcW w:w="2237" w:type="dxa"/>
            <w:vMerge w:val="continue"/>
            <w:vAlign w:val="center"/>
          </w:tcPr>
          <w:p>
            <w:pPr>
              <w:spacing w:line="240" w:lineRule="auto"/>
              <w:ind w:firstLine="0" w:firstLineChars="0"/>
              <w:jc w:val="center"/>
              <w:rPr>
                <w:rFonts w:ascii="宋体" w:hAnsi="宋体" w:eastAsia="宋体"/>
                <w:sz w:val="21"/>
                <w:szCs w:val="21"/>
              </w:rPr>
            </w:pPr>
          </w:p>
        </w:tc>
        <w:tc>
          <w:tcPr>
            <w:tcW w:w="4578" w:type="dxa"/>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48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大气污染防治法》第九十九条规定“违反本法规定，有下列行为之一的，由县级以上人民政府生态环境主管部门责令改正或者限制生产、停产整治，并处十万元以上一百万元以下的罚款；情节严重的，报经有批准权的人民政府批准，责令停业、关闭：（二）超过大气污染物排放标准或者超过重点大气污染物排放总量控制指标排放大气污染物的”。</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本表适用于企业厂区内及厂界大气污染物超标的情形。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一类功能区、二类功能区的划分按照《环境空气质量标准（GB3095-2012）》的规定执行。</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0"/>
        <w:jc w:val="center"/>
        <w:rPr>
          <w:rFonts w:eastAsia="方正楷体_GBK"/>
          <w:bCs/>
          <w:sz w:val="28"/>
          <w:szCs w:val="28"/>
        </w:rPr>
      </w:pPr>
      <w:r>
        <w:rPr>
          <w:rFonts w:ascii="宋体" w:hAnsi="宋体" w:eastAsia="宋体"/>
          <w:sz w:val="21"/>
          <w:szCs w:val="21"/>
        </w:rPr>
        <w:br w:type="page"/>
      </w:r>
      <w:r>
        <w:rPr>
          <w:rFonts w:hint="eastAsia" w:ascii="华文仿宋" w:hAnsi="华文仿宋" w:eastAsia="华文仿宋" w:cs="华文仿宋"/>
          <w:snapToGrid w:val="0"/>
          <w:sz w:val="28"/>
          <w:szCs w:val="18"/>
          <w:lang w:val="en-US" w:eastAsia="zh-CN" w:bidi="ar-SA"/>
        </w:rPr>
        <w:t>表6-3 无组织排放挥发性有机物废气的裁量标准</w:t>
      </w:r>
    </w:p>
    <w:tbl>
      <w:tblPr>
        <w:tblStyle w:val="9"/>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205"/>
        <w:gridCol w:w="4689"/>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44"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0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689"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468"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7638"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4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0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空间、设备密闭情况</w:t>
            </w: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空间、设备未密闭，已安装且按规定使用污染防治设施</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空间、设备未密闭，已安装但未按规定使用污染防治设施</w:t>
            </w:r>
          </w:p>
        </w:tc>
        <w:tc>
          <w:tcPr>
            <w:tcW w:w="1468"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空间、设备已密闭，未按照规定安装污染防治设施</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空间、设备未密闭，未按照规定安装污染防治设施</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0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逸散范围</w:t>
            </w: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影响范围较小（车间内）</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影响范围一般（厂区内）</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影响范围较大（厂界）</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0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挥发性有机物年排放量</w:t>
            </w: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不足1吨</w:t>
            </w:r>
          </w:p>
        </w:tc>
        <w:tc>
          <w:tcPr>
            <w:tcW w:w="1468"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1吨以上不足10吨</w:t>
            </w:r>
          </w:p>
        </w:tc>
        <w:tc>
          <w:tcPr>
            <w:tcW w:w="1468"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10吨以上不足100吨</w:t>
            </w:r>
          </w:p>
        </w:tc>
        <w:tc>
          <w:tcPr>
            <w:tcW w:w="1468"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100吨以上不足1000吨</w:t>
            </w:r>
          </w:p>
        </w:tc>
        <w:tc>
          <w:tcPr>
            <w:tcW w:w="1468"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sz w:val="21"/>
                <w:szCs w:val="21"/>
              </w:rPr>
              <w:t>1000吨以上</w:t>
            </w:r>
          </w:p>
        </w:tc>
        <w:tc>
          <w:tcPr>
            <w:tcW w:w="1468"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0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8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sz w:val="21"/>
                <w:szCs w:val="21"/>
              </w:rPr>
            </w:pPr>
          </w:p>
        </w:tc>
        <w:tc>
          <w:tcPr>
            <w:tcW w:w="2205" w:type="dxa"/>
            <w:vMerge w:val="continue"/>
            <w:vAlign w:val="center"/>
          </w:tcPr>
          <w:p>
            <w:pPr>
              <w:spacing w:line="240" w:lineRule="auto"/>
              <w:ind w:firstLine="0"/>
              <w:jc w:val="center"/>
              <w:rPr>
                <w:rFonts w:ascii="宋体" w:hAnsi="宋体" w:eastAsia="宋体"/>
                <w:sz w:val="21"/>
                <w:szCs w:val="21"/>
              </w:rPr>
            </w:pPr>
          </w:p>
        </w:tc>
        <w:tc>
          <w:tcPr>
            <w:tcW w:w="468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68"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05"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89"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44" w:type="dxa"/>
            <w:vMerge w:val="continue"/>
            <w:vAlign w:val="center"/>
          </w:tcPr>
          <w:p>
            <w:pPr>
              <w:spacing w:line="240" w:lineRule="auto"/>
              <w:ind w:firstLine="0"/>
              <w:jc w:val="center"/>
              <w:rPr>
                <w:rFonts w:ascii="宋体" w:hAnsi="宋体" w:eastAsia="宋体"/>
                <w:b/>
                <w:bCs/>
                <w:sz w:val="21"/>
                <w:szCs w:val="21"/>
              </w:rPr>
            </w:pPr>
          </w:p>
        </w:tc>
        <w:tc>
          <w:tcPr>
            <w:tcW w:w="2205" w:type="dxa"/>
            <w:vMerge w:val="continue"/>
            <w:vAlign w:val="center"/>
          </w:tcPr>
          <w:p>
            <w:pPr>
              <w:spacing w:line="240" w:lineRule="auto"/>
              <w:ind w:firstLine="0" w:firstLineChars="0"/>
              <w:jc w:val="center"/>
              <w:rPr>
                <w:rFonts w:ascii="宋体" w:hAnsi="宋体" w:eastAsia="宋体"/>
                <w:sz w:val="21"/>
                <w:szCs w:val="21"/>
              </w:rPr>
            </w:pPr>
          </w:p>
        </w:tc>
        <w:tc>
          <w:tcPr>
            <w:tcW w:w="4689"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68"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10%</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注：1、本表适用于《中华人民共和国大气污染防治法》第一百零八条规定“第一百零八条　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p>
    <w:p>
      <w:pPr>
        <w:spacing w:line="240" w:lineRule="auto"/>
        <w:ind w:firstLine="420" w:firstLineChars="200"/>
        <w:rPr>
          <w:rFonts w:ascii="宋体" w:hAnsi="宋体" w:eastAsia="宋体"/>
          <w:sz w:val="21"/>
          <w:szCs w:val="21"/>
        </w:rPr>
      </w:pPr>
      <w:r>
        <w:rPr>
          <w:rFonts w:ascii="宋体" w:hAnsi="宋体" w:eastAsia="宋体"/>
          <w:sz w:val="21"/>
          <w:szCs w:val="21"/>
        </w:rPr>
        <w:t>2、挥发性有机物年排放量以排污许可证记载数据为准，如无排污许可证，以环境影响评价文件、污染源普查数据为准。</w:t>
      </w:r>
    </w:p>
    <w:p>
      <w:pPr>
        <w:spacing w:line="240" w:lineRule="auto"/>
        <w:ind w:firstLine="420" w:firstLineChars="200"/>
        <w:rPr>
          <w:rFonts w:ascii="宋体" w:hAnsi="宋体" w:eastAsia="宋体"/>
          <w:sz w:val="21"/>
          <w:szCs w:val="21"/>
        </w:rPr>
      </w:pPr>
      <w:r>
        <w:rPr>
          <w:rFonts w:ascii="宋体" w:hAnsi="宋体" w:eastAsia="宋体"/>
          <w:sz w:val="21"/>
          <w:szCs w:val="21"/>
        </w:rPr>
        <w:t>3、本表所称的“以上”包括本数，“不足”不包括本数。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4、环境违法次数（两年内、含本次）指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5</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ind w:firstLine="642" w:firstLineChars="200"/>
        <w:outlineLvl w:val="1"/>
        <w:rPr>
          <w:rFonts w:eastAsia="方正楷体_GBK"/>
          <w:b/>
          <w:bCs w:val="0"/>
          <w:szCs w:val="32"/>
        </w:rPr>
      </w:pPr>
      <w:bookmarkStart w:id="6" w:name="_Toc28307"/>
      <w:r>
        <w:rPr>
          <w:rFonts w:eastAsia="方正楷体_GBK"/>
          <w:b/>
          <w:bCs w:val="0"/>
          <w:szCs w:val="32"/>
        </w:rPr>
        <w:t>（七）违反水污染防治管理制度的行为</w:t>
      </w:r>
      <w:bookmarkEnd w:id="6"/>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表7-1  超标排放水污染物（直接向水体排放）的裁量标准</w:t>
      </w:r>
    </w:p>
    <w:tbl>
      <w:tblPr>
        <w:tblStyle w:val="9"/>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136"/>
        <w:gridCol w:w="4612"/>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136"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4612"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1424"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574" w:type="dxa"/>
            <w:gridSpan w:val="3"/>
            <w:vAlign w:val="center"/>
          </w:tcPr>
          <w:p>
            <w:pPr>
              <w:spacing w:line="240" w:lineRule="auto"/>
              <w:ind w:firstLine="0"/>
              <w:jc w:val="center"/>
              <w:rPr>
                <w:rFonts w:ascii="宋体" w:hAnsi="宋体" w:eastAsia="宋体"/>
                <w:bCs/>
                <w:sz w:val="21"/>
                <w:szCs w:val="21"/>
                <w:lang w:bidi="ar"/>
              </w:rPr>
            </w:pPr>
            <w:r>
              <w:rPr>
                <w:rFonts w:ascii="宋体" w:hAnsi="宋体" w:eastAsia="宋体"/>
                <w:bCs/>
                <w:sz w:val="21"/>
                <w:szCs w:val="21"/>
                <w:lang w:bidi="ar"/>
              </w:rPr>
              <w:t>裁量起点</w:t>
            </w:r>
          </w:p>
        </w:tc>
        <w:tc>
          <w:tcPr>
            <w:tcW w:w="1424" w:type="dxa"/>
            <w:vAlign w:val="center"/>
          </w:tcPr>
          <w:p>
            <w:pPr>
              <w:spacing w:line="240" w:lineRule="auto"/>
              <w:ind w:firstLine="0"/>
              <w:jc w:val="center"/>
              <w:rPr>
                <w:rFonts w:ascii="宋体" w:hAnsi="宋体" w:eastAsia="宋体"/>
                <w:bCs/>
                <w:sz w:val="21"/>
                <w:szCs w:val="21"/>
                <w:lang w:bidi="ar"/>
              </w:rPr>
            </w:pPr>
            <w:r>
              <w:rPr>
                <w:rFonts w:ascii="宋体" w:hAnsi="宋体" w:eastAsia="宋体"/>
                <w:bCs/>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136" w:type="dxa"/>
            <w:vMerge w:val="restart"/>
            <w:vAlign w:val="center"/>
          </w:tcPr>
          <w:p>
            <w:pPr>
              <w:spacing w:line="240" w:lineRule="auto"/>
              <w:ind w:firstLine="0"/>
              <w:jc w:val="center"/>
              <w:rPr>
                <w:rFonts w:ascii="宋体" w:hAnsi="宋体" w:eastAsia="宋体"/>
                <w:sz w:val="21"/>
                <w:szCs w:val="21"/>
              </w:rPr>
            </w:pPr>
          </w:p>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数目</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1个</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2个</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3个以上</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废水类别</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生活废水</w:t>
            </w:r>
          </w:p>
          <w:p>
            <w:pPr>
              <w:spacing w:line="240" w:lineRule="auto"/>
              <w:ind w:firstLine="0"/>
              <w:rPr>
                <w:rFonts w:ascii="宋体" w:hAnsi="宋体" w:eastAsia="宋体"/>
                <w:sz w:val="21"/>
                <w:szCs w:val="21"/>
              </w:rPr>
            </w:pPr>
            <w:r>
              <w:rPr>
                <w:rFonts w:ascii="宋体" w:hAnsi="宋体" w:eastAsia="宋体"/>
                <w:sz w:val="21"/>
                <w:szCs w:val="21"/>
              </w:rPr>
              <w:t>服务业废水</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一般工业废水</w:t>
            </w:r>
          </w:p>
          <w:p>
            <w:pPr>
              <w:spacing w:line="240" w:lineRule="auto"/>
              <w:ind w:firstLine="0"/>
              <w:rPr>
                <w:rFonts w:ascii="宋体" w:hAnsi="宋体" w:eastAsia="宋体"/>
                <w:sz w:val="21"/>
                <w:szCs w:val="21"/>
              </w:rPr>
            </w:pPr>
            <w:r>
              <w:rPr>
                <w:rFonts w:ascii="宋体" w:hAnsi="宋体" w:eastAsia="宋体"/>
                <w:sz w:val="21"/>
                <w:szCs w:val="21"/>
              </w:rPr>
              <w:t>污水集中处理设施出水</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含重金属、病原体、放射性物质的废水</w:t>
            </w:r>
          </w:p>
          <w:p>
            <w:pPr>
              <w:spacing w:line="240" w:lineRule="auto"/>
              <w:ind w:firstLine="0"/>
              <w:rPr>
                <w:rFonts w:ascii="宋体" w:hAnsi="宋体" w:eastAsia="宋体"/>
                <w:sz w:val="21"/>
                <w:szCs w:val="21"/>
              </w:rPr>
            </w:pPr>
            <w:r>
              <w:rPr>
                <w:rFonts w:ascii="宋体" w:hAnsi="宋体" w:eastAsia="宋体"/>
                <w:sz w:val="21"/>
                <w:szCs w:val="21"/>
              </w:rPr>
              <w:t>含其他有毒有害物质的废水</w:t>
            </w:r>
          </w:p>
          <w:p>
            <w:pPr>
              <w:spacing w:line="240" w:lineRule="auto"/>
              <w:ind w:firstLine="0"/>
              <w:rPr>
                <w:rFonts w:ascii="宋体" w:hAnsi="宋体" w:eastAsia="宋体"/>
                <w:sz w:val="21"/>
                <w:szCs w:val="21"/>
              </w:rPr>
            </w:pPr>
            <w:r>
              <w:rPr>
                <w:rFonts w:ascii="宋体" w:hAnsi="宋体" w:eastAsia="宋体"/>
                <w:sz w:val="21"/>
                <w:szCs w:val="21"/>
              </w:rPr>
              <w:t>医疗废水</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136"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超标状况</w:t>
            </w:r>
          </w:p>
          <w:p>
            <w:pPr>
              <w:spacing w:line="240" w:lineRule="auto"/>
              <w:ind w:firstLine="0"/>
              <w:jc w:val="center"/>
              <w:rPr>
                <w:rFonts w:ascii="宋体" w:hAnsi="宋体" w:eastAsia="宋体"/>
                <w:sz w:val="21"/>
                <w:szCs w:val="21"/>
              </w:rPr>
            </w:pPr>
            <w:r>
              <w:rPr>
                <w:rFonts w:ascii="宋体" w:hAnsi="宋体" w:eastAsia="宋体"/>
                <w:sz w:val="21"/>
                <w:szCs w:val="21"/>
                <w:lang w:bidi="ar"/>
              </w:rPr>
              <w:t>（超标最严重的污染因子）</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不足50%</w:t>
            </w:r>
          </w:p>
          <w:p>
            <w:pPr>
              <w:spacing w:line="240" w:lineRule="auto"/>
              <w:ind w:firstLine="0"/>
              <w:rPr>
                <w:rFonts w:ascii="宋体" w:hAnsi="宋体" w:eastAsia="宋体"/>
                <w:sz w:val="21"/>
                <w:szCs w:val="21"/>
              </w:rPr>
            </w:pPr>
            <w:r>
              <w:rPr>
                <w:rFonts w:ascii="宋体" w:hAnsi="宋体" w:eastAsia="宋体"/>
                <w:sz w:val="21"/>
                <w:szCs w:val="21"/>
                <w:lang w:bidi="ar"/>
              </w:rPr>
              <w:t>5.5≤pH＜6或9＜pH≤9.5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色度稀释倍数不足20倍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50%以上不足100%</w:t>
            </w:r>
          </w:p>
          <w:p>
            <w:pPr>
              <w:spacing w:line="240" w:lineRule="auto"/>
              <w:ind w:firstLine="0"/>
              <w:rPr>
                <w:rFonts w:ascii="宋体" w:hAnsi="宋体" w:eastAsia="宋体"/>
                <w:sz w:val="21"/>
                <w:szCs w:val="21"/>
              </w:rPr>
            </w:pPr>
            <w:r>
              <w:rPr>
                <w:rFonts w:ascii="宋体" w:hAnsi="宋体" w:eastAsia="宋体"/>
                <w:sz w:val="21"/>
                <w:szCs w:val="21"/>
                <w:lang w:bidi="ar"/>
              </w:rPr>
              <w:t>4.5≤pH＜5.5或9.5＜pH≤10.5</w:t>
            </w:r>
          </w:p>
          <w:p>
            <w:pPr>
              <w:spacing w:line="240" w:lineRule="auto"/>
              <w:ind w:firstLine="0"/>
              <w:rPr>
                <w:rFonts w:ascii="宋体" w:hAnsi="宋体" w:eastAsia="宋体"/>
                <w:sz w:val="21"/>
                <w:szCs w:val="21"/>
              </w:rPr>
            </w:pPr>
            <w:r>
              <w:rPr>
                <w:rFonts w:ascii="宋体" w:hAnsi="宋体" w:eastAsia="宋体"/>
                <w:sz w:val="21"/>
                <w:szCs w:val="21"/>
                <w:lang w:bidi="ar"/>
              </w:rPr>
              <w:t>色度稀释倍数20倍</w:t>
            </w:r>
            <w:r>
              <w:rPr>
                <w:rFonts w:hint="eastAsia" w:ascii="宋体" w:hAnsi="宋体" w:eastAsia="宋体"/>
                <w:sz w:val="21"/>
                <w:szCs w:val="21"/>
                <w:lang w:bidi="ar"/>
              </w:rPr>
              <w:t>以上</w:t>
            </w:r>
            <w:r>
              <w:rPr>
                <w:rFonts w:ascii="宋体" w:hAnsi="宋体" w:eastAsia="宋体"/>
                <w:sz w:val="21"/>
                <w:szCs w:val="21"/>
                <w:lang w:bidi="ar"/>
              </w:rPr>
              <w:t>不足40倍</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100%以上不足300%</w:t>
            </w:r>
          </w:p>
          <w:p>
            <w:pPr>
              <w:spacing w:line="240" w:lineRule="auto"/>
              <w:ind w:firstLine="0"/>
              <w:rPr>
                <w:rFonts w:ascii="宋体" w:hAnsi="宋体" w:eastAsia="宋体"/>
                <w:sz w:val="21"/>
                <w:szCs w:val="21"/>
              </w:rPr>
            </w:pPr>
            <w:r>
              <w:rPr>
                <w:rFonts w:ascii="宋体" w:hAnsi="宋体" w:eastAsia="宋体"/>
                <w:sz w:val="21"/>
                <w:szCs w:val="21"/>
                <w:lang w:bidi="ar"/>
              </w:rPr>
              <w:t>色度稀释倍数</w:t>
            </w:r>
            <w:r>
              <w:rPr>
                <w:rFonts w:hint="eastAsia" w:ascii="宋体" w:hAnsi="宋体" w:eastAsia="宋体"/>
                <w:sz w:val="21"/>
                <w:szCs w:val="21"/>
                <w:lang w:bidi="ar"/>
              </w:rPr>
              <w:t>4</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不足60倍</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300%以上不足500%</w:t>
            </w:r>
          </w:p>
          <w:p>
            <w:pPr>
              <w:spacing w:line="240" w:lineRule="auto"/>
              <w:ind w:firstLine="0"/>
              <w:rPr>
                <w:rFonts w:ascii="宋体" w:hAnsi="宋体" w:eastAsia="宋体"/>
                <w:sz w:val="21"/>
                <w:szCs w:val="21"/>
              </w:rPr>
            </w:pPr>
            <w:r>
              <w:rPr>
                <w:rFonts w:ascii="宋体" w:hAnsi="宋体" w:eastAsia="宋体"/>
                <w:sz w:val="21"/>
                <w:szCs w:val="21"/>
                <w:lang w:bidi="ar"/>
              </w:rPr>
              <w:t>3.5≤pH＜4.5或10.5＜pH≤11.5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w:t>
            </w:r>
            <w:r>
              <w:rPr>
                <w:rFonts w:hint="eastAsia" w:ascii="宋体" w:hAnsi="宋体" w:eastAsia="宋体"/>
                <w:sz w:val="21"/>
                <w:szCs w:val="21"/>
                <w:lang w:bidi="ar"/>
              </w:rPr>
              <w:t>6</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不足80倍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500%以上不足1000%</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w:t>
            </w:r>
            <w:r>
              <w:rPr>
                <w:rFonts w:hint="eastAsia" w:ascii="宋体" w:hAnsi="宋体" w:eastAsia="宋体"/>
                <w:sz w:val="21"/>
                <w:szCs w:val="21"/>
                <w:lang w:bidi="ar"/>
              </w:rPr>
              <w:t>8</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不足100倍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1000%以上</w:t>
            </w:r>
          </w:p>
          <w:p>
            <w:pPr>
              <w:spacing w:line="240" w:lineRule="auto"/>
              <w:ind w:firstLine="0"/>
              <w:rPr>
                <w:rFonts w:ascii="宋体" w:hAnsi="宋体" w:eastAsia="宋体"/>
                <w:sz w:val="21"/>
                <w:szCs w:val="21"/>
              </w:rPr>
            </w:pPr>
            <w:r>
              <w:rPr>
                <w:rFonts w:ascii="宋体" w:hAnsi="宋体" w:eastAsia="宋体"/>
                <w:sz w:val="21"/>
                <w:szCs w:val="21"/>
                <w:lang w:bidi="ar"/>
              </w:rPr>
              <w:t>pH＜3.5或pH＞11.5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色度稀释倍数100倍以上</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日排放量</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不足10吨（一般排污单位）</w:t>
            </w:r>
          </w:p>
          <w:p>
            <w:pPr>
              <w:spacing w:line="240" w:lineRule="auto"/>
              <w:ind w:firstLine="0"/>
              <w:rPr>
                <w:rFonts w:ascii="宋体" w:hAnsi="宋体" w:eastAsia="宋体"/>
                <w:sz w:val="21"/>
                <w:szCs w:val="21"/>
              </w:rPr>
            </w:pPr>
            <w:r>
              <w:rPr>
                <w:rFonts w:ascii="宋体" w:hAnsi="宋体" w:eastAsia="宋体"/>
                <w:sz w:val="21"/>
                <w:szCs w:val="21"/>
              </w:rPr>
              <w:t>不足5万吨（城镇污水处理厂）</w:t>
            </w:r>
          </w:p>
          <w:p>
            <w:pPr>
              <w:spacing w:line="240" w:lineRule="auto"/>
              <w:ind w:firstLine="0"/>
              <w:rPr>
                <w:rFonts w:ascii="宋体" w:hAnsi="宋体" w:eastAsia="宋体"/>
                <w:sz w:val="21"/>
                <w:szCs w:val="21"/>
              </w:rPr>
            </w:pPr>
            <w:r>
              <w:rPr>
                <w:rFonts w:ascii="宋体" w:hAnsi="宋体" w:eastAsia="宋体"/>
                <w:sz w:val="21"/>
                <w:szCs w:val="21"/>
              </w:rPr>
              <w:t>不足2000吨（工业污水处理厂）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10吨以上不足100吨（一般排污单位）</w:t>
            </w:r>
          </w:p>
          <w:p>
            <w:pPr>
              <w:spacing w:line="240" w:lineRule="auto"/>
              <w:ind w:firstLine="0"/>
              <w:rPr>
                <w:rFonts w:ascii="宋体" w:hAnsi="宋体" w:eastAsia="宋体"/>
                <w:sz w:val="21"/>
                <w:szCs w:val="21"/>
              </w:rPr>
            </w:pPr>
            <w:r>
              <w:rPr>
                <w:rFonts w:ascii="宋体" w:hAnsi="宋体" w:eastAsia="宋体"/>
                <w:sz w:val="21"/>
                <w:szCs w:val="21"/>
              </w:rPr>
              <w:t>5万吨以上不足10万吨（城镇污水处理厂）</w:t>
            </w:r>
          </w:p>
          <w:p>
            <w:pPr>
              <w:spacing w:line="240" w:lineRule="auto"/>
              <w:ind w:firstLine="0"/>
              <w:rPr>
                <w:rFonts w:ascii="宋体" w:hAnsi="宋体" w:eastAsia="宋体"/>
                <w:sz w:val="21"/>
                <w:szCs w:val="21"/>
              </w:rPr>
            </w:pPr>
            <w:r>
              <w:rPr>
                <w:rFonts w:ascii="宋体" w:hAnsi="宋体" w:eastAsia="宋体"/>
                <w:sz w:val="21"/>
                <w:szCs w:val="21"/>
              </w:rPr>
              <w:t>2000吨以上不足5000吨（工业污水处理厂）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100吨以上不足500吨（一般排污单位）</w:t>
            </w:r>
          </w:p>
          <w:p>
            <w:pPr>
              <w:spacing w:line="240" w:lineRule="auto"/>
              <w:ind w:firstLine="0"/>
              <w:rPr>
                <w:rFonts w:ascii="宋体" w:hAnsi="宋体" w:eastAsia="宋体"/>
                <w:sz w:val="21"/>
                <w:szCs w:val="21"/>
              </w:rPr>
            </w:pPr>
            <w:r>
              <w:rPr>
                <w:rFonts w:ascii="宋体" w:hAnsi="宋体" w:eastAsia="宋体"/>
                <w:sz w:val="21"/>
                <w:szCs w:val="21"/>
              </w:rPr>
              <w:t>10万吨以上不足20万吨（城镇污水处理厂）</w:t>
            </w:r>
          </w:p>
          <w:p>
            <w:pPr>
              <w:spacing w:line="240" w:lineRule="auto"/>
              <w:ind w:firstLine="0"/>
              <w:rPr>
                <w:rFonts w:ascii="宋体" w:hAnsi="宋体" w:eastAsia="宋体"/>
                <w:sz w:val="21"/>
                <w:szCs w:val="21"/>
              </w:rPr>
            </w:pPr>
            <w:r>
              <w:rPr>
                <w:rFonts w:ascii="宋体" w:hAnsi="宋体" w:eastAsia="宋体"/>
                <w:sz w:val="21"/>
                <w:szCs w:val="21"/>
              </w:rPr>
              <w:t>5000吨以上不足1万吨（工业污水处理厂）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500吨以上不足1000吨（一般排污单位）</w:t>
            </w:r>
          </w:p>
          <w:p>
            <w:pPr>
              <w:spacing w:line="240" w:lineRule="auto"/>
              <w:ind w:firstLine="0"/>
              <w:rPr>
                <w:rFonts w:ascii="宋体" w:hAnsi="宋体" w:eastAsia="宋体"/>
                <w:sz w:val="21"/>
                <w:szCs w:val="21"/>
              </w:rPr>
            </w:pPr>
            <w:r>
              <w:rPr>
                <w:rFonts w:ascii="宋体" w:hAnsi="宋体" w:eastAsia="宋体"/>
                <w:sz w:val="21"/>
                <w:szCs w:val="21"/>
              </w:rPr>
              <w:t>20万吨以上不50万吨（城镇污水处理厂）</w:t>
            </w:r>
          </w:p>
          <w:p>
            <w:pPr>
              <w:spacing w:line="240" w:lineRule="auto"/>
              <w:ind w:firstLine="0"/>
              <w:rPr>
                <w:rFonts w:ascii="宋体" w:hAnsi="宋体" w:eastAsia="宋体"/>
                <w:sz w:val="21"/>
                <w:szCs w:val="21"/>
              </w:rPr>
            </w:pPr>
            <w:r>
              <w:rPr>
                <w:rFonts w:ascii="宋体" w:hAnsi="宋体" w:eastAsia="宋体"/>
                <w:sz w:val="21"/>
                <w:szCs w:val="21"/>
              </w:rPr>
              <w:t>1万吨以上不足5万吨（工业污水处理厂）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1000吨以上（一般排污单位）</w:t>
            </w:r>
          </w:p>
          <w:p>
            <w:pPr>
              <w:spacing w:line="240" w:lineRule="auto"/>
              <w:ind w:firstLine="0"/>
              <w:rPr>
                <w:rFonts w:ascii="宋体" w:hAnsi="宋体" w:eastAsia="宋体"/>
                <w:sz w:val="21"/>
                <w:szCs w:val="21"/>
              </w:rPr>
            </w:pPr>
            <w:r>
              <w:rPr>
                <w:rFonts w:ascii="宋体" w:hAnsi="宋体" w:eastAsia="宋体"/>
                <w:sz w:val="21"/>
                <w:szCs w:val="21"/>
              </w:rPr>
              <w:t>50万吨以上（城镇污水处理厂）</w:t>
            </w:r>
          </w:p>
          <w:p>
            <w:pPr>
              <w:spacing w:line="240" w:lineRule="auto"/>
              <w:ind w:firstLine="0"/>
              <w:rPr>
                <w:rFonts w:ascii="宋体" w:hAnsi="宋体" w:eastAsia="宋体"/>
                <w:sz w:val="21"/>
                <w:szCs w:val="21"/>
              </w:rPr>
            </w:pPr>
            <w:r>
              <w:rPr>
                <w:rFonts w:ascii="宋体" w:hAnsi="宋体" w:eastAsia="宋体"/>
                <w:sz w:val="21"/>
                <w:szCs w:val="21"/>
              </w:rPr>
              <w:t>5万吨以上（工业污水处理厂）</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排放去向</w:t>
            </w: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Ⅴ</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Ⅳ</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Ⅲ</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Ⅱ</w:t>
            </w:r>
            <w:r>
              <w:rPr>
                <w:rFonts w:ascii="宋体" w:hAnsi="宋体" w:eastAsia="宋体"/>
                <w:sz w:val="21"/>
                <w:szCs w:val="21"/>
              </w:rPr>
              <w:t>类/</w:t>
            </w:r>
            <w:r>
              <w:rPr>
                <w:rFonts w:hint="eastAsia" w:ascii="宋体" w:hAnsi="宋体" w:eastAsia="宋体" w:cs="宋体"/>
                <w:sz w:val="21"/>
                <w:szCs w:val="21"/>
              </w:rPr>
              <w:t>Ⅰ</w:t>
            </w:r>
            <w:r>
              <w:rPr>
                <w:rFonts w:ascii="宋体" w:hAnsi="宋体" w:eastAsia="宋体"/>
                <w:sz w:val="21"/>
                <w:szCs w:val="21"/>
              </w:rPr>
              <w:t>类水体</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饮用水水源保护区</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3次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24"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21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12"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b/>
                <w:bCs/>
                <w:sz w:val="21"/>
                <w:szCs w:val="21"/>
              </w:rPr>
            </w:pPr>
          </w:p>
        </w:tc>
        <w:tc>
          <w:tcPr>
            <w:tcW w:w="2136" w:type="dxa"/>
            <w:vMerge w:val="continue"/>
            <w:vAlign w:val="center"/>
          </w:tcPr>
          <w:p>
            <w:pPr>
              <w:spacing w:line="240" w:lineRule="auto"/>
              <w:ind w:firstLine="0" w:firstLineChars="0"/>
              <w:jc w:val="center"/>
              <w:rPr>
                <w:rFonts w:ascii="宋体" w:hAnsi="宋体" w:eastAsia="宋体"/>
                <w:sz w:val="21"/>
                <w:szCs w:val="21"/>
              </w:rPr>
            </w:pPr>
          </w:p>
        </w:tc>
        <w:tc>
          <w:tcPr>
            <w:tcW w:w="4612"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水污染防治法》第八十三条规定的“违反本法规定，有下列行为之一的，由县级以上人民政府环境保护主管部门责令改正或者责令限制生产、停产整治,并处十万元以上一百万元以下的罚款；情节严重的,报经有批准权的人民政府批准，责令停业、关闭：(二)超过水污染物排放标准或者超过重点水污染物排放总量控制指标排放水污染物的”情形。</w:t>
      </w:r>
    </w:p>
    <w:p>
      <w:pPr>
        <w:spacing w:line="240" w:lineRule="auto"/>
        <w:ind w:firstLine="420" w:firstLineChars="200"/>
        <w:rPr>
          <w:rFonts w:ascii="宋体" w:hAnsi="宋体" w:eastAsia="宋体"/>
          <w:sz w:val="21"/>
          <w:szCs w:val="21"/>
        </w:rPr>
      </w:pPr>
      <w:r>
        <w:rPr>
          <w:rFonts w:ascii="宋体" w:hAnsi="宋体" w:eastAsia="宋体"/>
          <w:sz w:val="21"/>
          <w:szCs w:val="21"/>
        </w:rPr>
        <w:t>2、超标状况是指对于同一排放口，选取超标倍数最大的污染因子。</w:t>
      </w:r>
    </w:p>
    <w:p>
      <w:pPr>
        <w:spacing w:line="240" w:lineRule="auto"/>
        <w:ind w:firstLine="420" w:firstLineChars="200"/>
        <w:rPr>
          <w:rFonts w:ascii="宋体" w:hAnsi="宋体" w:eastAsia="宋体"/>
          <w:sz w:val="21"/>
          <w:szCs w:val="21"/>
        </w:rPr>
      </w:pPr>
      <w:r>
        <w:rPr>
          <w:rFonts w:ascii="宋体" w:hAnsi="宋体" w:eastAsia="宋体"/>
          <w:sz w:val="21"/>
          <w:szCs w:val="21"/>
        </w:rPr>
        <w:t>3、日排放量是指企业当日排水量，一般以在线监测数据为准；如没有在线监测数据的，按照物料衡算法进行计算。</w:t>
      </w:r>
    </w:p>
    <w:p>
      <w:pPr>
        <w:spacing w:line="240" w:lineRule="auto"/>
        <w:ind w:firstLine="420" w:firstLineChars="200"/>
        <w:rPr>
          <w:rFonts w:ascii="宋体" w:hAnsi="宋体" w:eastAsia="宋体"/>
          <w:sz w:val="21"/>
          <w:szCs w:val="21"/>
        </w:rPr>
      </w:pPr>
      <w:r>
        <w:rPr>
          <w:rFonts w:ascii="宋体" w:hAnsi="宋体" w:eastAsia="宋体"/>
          <w:sz w:val="21"/>
          <w:szCs w:val="21"/>
        </w:rPr>
        <w:t>4、饮用水水源保护区如涉及上述水体类别时，选择裁量百分值较重的类别进行裁量。</w:t>
      </w:r>
    </w:p>
    <w:p>
      <w:pPr>
        <w:spacing w:line="240" w:lineRule="auto"/>
        <w:ind w:firstLine="420" w:firstLineChars="200"/>
        <w:rPr>
          <w:rFonts w:ascii="宋体" w:hAnsi="宋体" w:eastAsia="宋体"/>
          <w:sz w:val="21"/>
          <w:szCs w:val="21"/>
        </w:rPr>
      </w:pPr>
      <w:r>
        <w:rPr>
          <w:rFonts w:ascii="宋体" w:hAnsi="宋体" w:eastAsia="宋体"/>
          <w:sz w:val="21"/>
          <w:szCs w:val="21"/>
        </w:rPr>
        <w:t>5、本表所称的“以上”包括本数，“不足”“以内”不包括本数。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6、环境违法次数（两年内、含本次）指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hint="eastAsia" w:ascii="宋体" w:hAnsi="宋体" w:eastAsia="宋体"/>
          <w:b w:val="0"/>
          <w:bCs w:val="0"/>
          <w:sz w:val="21"/>
          <w:szCs w:val="21"/>
          <w:lang w:val="en-US" w:eastAsia="zh-CN"/>
        </w:rPr>
      </w:pPr>
      <w:r>
        <w:rPr>
          <w:rFonts w:hint="eastAsia" w:ascii="宋体" w:hAnsi="宋体" w:eastAsia="宋体"/>
          <w:b w:val="0"/>
          <w:bCs w:val="0"/>
          <w:sz w:val="21"/>
          <w:szCs w:val="21"/>
          <w:lang w:val="en-US" w:eastAsia="zh-CN"/>
        </w:rPr>
        <w:t>7、对周边居民、单位等造成的不良影响（一年内）是指当事人自发现本次违法行为之日（不包含本日）起向前追溯一年发生的投诉且经核实的情况。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b w:val="0"/>
          <w:bCs w:val="0"/>
          <w:sz w:val="21"/>
          <w:szCs w:val="21"/>
          <w:lang w:val="en-US" w:eastAsia="zh-CN"/>
        </w:rPr>
        <w:t xml:space="preserve">8、法律法规等有其他规定的，从其规定。 </w:t>
      </w:r>
    </w:p>
    <w:p>
      <w:pPr>
        <w:pStyle w:val="12"/>
        <w:rPr>
          <w:rFonts w:hint="eastAsia" w:ascii="华文仿宋" w:hAnsi="华文仿宋" w:eastAsia="华文仿宋" w:cs="华文仿宋"/>
          <w:snapToGrid w:val="0"/>
          <w:sz w:val="28"/>
          <w:szCs w:val="18"/>
          <w:lang w:val="en-US" w:eastAsia="zh-CN" w:bidi="ar-SA"/>
        </w:rPr>
      </w:pPr>
    </w:p>
    <w:p>
      <w:pPr>
        <w:rPr>
          <w:rFonts w:hint="eastAsia"/>
          <w:lang w:val="en-US" w:eastAsia="zh-CN"/>
        </w:rPr>
      </w:pP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表7-2  超标排放水污染物（向污水集中处理设施排放）的裁量标准</w:t>
      </w:r>
    </w:p>
    <w:tbl>
      <w:tblPr>
        <w:tblStyle w:val="9"/>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136"/>
        <w:gridCol w:w="4612"/>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2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136"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4612"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1424"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574" w:type="dxa"/>
            <w:gridSpan w:val="3"/>
            <w:vAlign w:val="center"/>
          </w:tcPr>
          <w:p>
            <w:pPr>
              <w:spacing w:line="240" w:lineRule="auto"/>
              <w:ind w:firstLine="0"/>
              <w:jc w:val="center"/>
              <w:rPr>
                <w:rFonts w:ascii="宋体" w:hAnsi="宋体" w:eastAsia="宋体"/>
                <w:bCs/>
                <w:sz w:val="21"/>
                <w:szCs w:val="21"/>
                <w:lang w:bidi="ar"/>
              </w:rPr>
            </w:pPr>
            <w:r>
              <w:rPr>
                <w:rFonts w:ascii="宋体" w:hAnsi="宋体" w:eastAsia="宋体"/>
                <w:bCs/>
                <w:sz w:val="21"/>
                <w:szCs w:val="21"/>
                <w:lang w:bidi="ar"/>
              </w:rPr>
              <w:t>裁量起点</w:t>
            </w:r>
          </w:p>
        </w:tc>
        <w:tc>
          <w:tcPr>
            <w:tcW w:w="1424" w:type="dxa"/>
            <w:vAlign w:val="center"/>
          </w:tcPr>
          <w:p>
            <w:pPr>
              <w:spacing w:line="240" w:lineRule="auto"/>
              <w:ind w:firstLine="0"/>
              <w:jc w:val="center"/>
              <w:rPr>
                <w:rFonts w:ascii="宋体" w:hAnsi="宋体" w:eastAsia="宋体"/>
                <w:bCs/>
                <w:sz w:val="21"/>
                <w:szCs w:val="21"/>
                <w:lang w:bidi="ar"/>
              </w:rPr>
            </w:pPr>
            <w:r>
              <w:rPr>
                <w:rFonts w:ascii="宋体" w:hAnsi="宋体" w:eastAsia="宋体"/>
                <w:bCs/>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超标污染物</w:t>
            </w:r>
          </w:p>
          <w:p>
            <w:pPr>
              <w:spacing w:line="240" w:lineRule="auto"/>
              <w:ind w:firstLine="0"/>
              <w:jc w:val="center"/>
              <w:rPr>
                <w:rFonts w:ascii="宋体" w:hAnsi="宋体" w:eastAsia="宋体"/>
                <w:sz w:val="21"/>
                <w:szCs w:val="21"/>
              </w:rPr>
            </w:pPr>
            <w:r>
              <w:rPr>
                <w:rFonts w:ascii="宋体" w:hAnsi="宋体" w:eastAsia="宋体"/>
                <w:sz w:val="21"/>
                <w:szCs w:val="21"/>
              </w:rPr>
              <w:t>数目</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1个</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2个</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3个以上</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废水类别</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生活废水</w:t>
            </w:r>
          </w:p>
          <w:p>
            <w:pPr>
              <w:spacing w:line="240" w:lineRule="auto"/>
              <w:ind w:firstLine="0"/>
              <w:rPr>
                <w:rFonts w:ascii="宋体" w:hAnsi="宋体" w:eastAsia="宋体"/>
                <w:sz w:val="21"/>
                <w:szCs w:val="21"/>
              </w:rPr>
            </w:pPr>
            <w:r>
              <w:rPr>
                <w:rFonts w:ascii="宋体" w:hAnsi="宋体" w:eastAsia="宋体"/>
                <w:sz w:val="21"/>
                <w:szCs w:val="21"/>
              </w:rPr>
              <w:t>服务业废水</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一般工业废水</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含重金属、病原体、放射性物质的废水</w:t>
            </w:r>
          </w:p>
          <w:p>
            <w:pPr>
              <w:spacing w:line="240" w:lineRule="auto"/>
              <w:ind w:firstLine="0"/>
              <w:rPr>
                <w:rFonts w:ascii="宋体" w:hAnsi="宋体" w:eastAsia="宋体"/>
                <w:sz w:val="21"/>
                <w:szCs w:val="21"/>
              </w:rPr>
            </w:pPr>
            <w:r>
              <w:rPr>
                <w:rFonts w:ascii="宋体" w:hAnsi="宋体" w:eastAsia="宋体"/>
                <w:sz w:val="21"/>
                <w:szCs w:val="21"/>
              </w:rPr>
              <w:t>含其他有毒有害物质的废水</w:t>
            </w:r>
          </w:p>
          <w:p>
            <w:pPr>
              <w:spacing w:line="240" w:lineRule="auto"/>
              <w:ind w:firstLine="0"/>
              <w:rPr>
                <w:rFonts w:ascii="宋体" w:hAnsi="宋体" w:eastAsia="宋体"/>
                <w:sz w:val="21"/>
                <w:szCs w:val="21"/>
              </w:rPr>
            </w:pPr>
            <w:r>
              <w:rPr>
                <w:rFonts w:ascii="宋体" w:hAnsi="宋体" w:eastAsia="宋体"/>
                <w:sz w:val="21"/>
                <w:szCs w:val="21"/>
              </w:rPr>
              <w:t>医疗废水</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136"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超标状况</w:t>
            </w:r>
          </w:p>
          <w:p>
            <w:pPr>
              <w:spacing w:line="240" w:lineRule="auto"/>
              <w:ind w:firstLine="0"/>
              <w:jc w:val="center"/>
              <w:rPr>
                <w:rFonts w:ascii="宋体" w:hAnsi="宋体" w:eastAsia="宋体"/>
                <w:sz w:val="21"/>
                <w:szCs w:val="21"/>
              </w:rPr>
            </w:pPr>
            <w:r>
              <w:rPr>
                <w:rFonts w:ascii="宋体" w:hAnsi="宋体" w:eastAsia="宋体"/>
                <w:sz w:val="21"/>
                <w:szCs w:val="21"/>
                <w:lang w:bidi="ar"/>
              </w:rPr>
              <w:t>（超标最严重的污染因子）</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不足50%</w:t>
            </w:r>
          </w:p>
          <w:p>
            <w:pPr>
              <w:spacing w:line="240" w:lineRule="auto"/>
              <w:ind w:firstLine="0"/>
              <w:rPr>
                <w:rFonts w:ascii="宋体" w:hAnsi="宋体" w:eastAsia="宋体"/>
                <w:sz w:val="21"/>
                <w:szCs w:val="21"/>
              </w:rPr>
            </w:pPr>
            <w:r>
              <w:rPr>
                <w:rFonts w:ascii="宋体" w:hAnsi="宋体" w:eastAsia="宋体"/>
                <w:sz w:val="21"/>
                <w:szCs w:val="21"/>
                <w:lang w:bidi="ar"/>
              </w:rPr>
              <w:t>5.5≤pH＜6或9＜pH≤9.5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色度稀释倍数不足20倍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50%以上不足100%</w:t>
            </w:r>
          </w:p>
          <w:p>
            <w:pPr>
              <w:spacing w:line="240" w:lineRule="auto"/>
              <w:ind w:firstLine="0"/>
              <w:rPr>
                <w:rFonts w:ascii="宋体" w:hAnsi="宋体" w:eastAsia="宋体"/>
                <w:sz w:val="21"/>
                <w:szCs w:val="21"/>
              </w:rPr>
            </w:pPr>
            <w:r>
              <w:rPr>
                <w:rFonts w:ascii="宋体" w:hAnsi="宋体" w:eastAsia="宋体"/>
                <w:sz w:val="21"/>
                <w:szCs w:val="21"/>
                <w:lang w:bidi="ar"/>
              </w:rPr>
              <w:t>4.5≤pH＜5.5或9.5＜pH≤10.5</w:t>
            </w:r>
          </w:p>
          <w:p>
            <w:pPr>
              <w:spacing w:line="240" w:lineRule="auto"/>
              <w:ind w:firstLine="0"/>
              <w:rPr>
                <w:rFonts w:ascii="宋体" w:hAnsi="宋体" w:eastAsia="宋体"/>
                <w:sz w:val="21"/>
                <w:szCs w:val="21"/>
              </w:rPr>
            </w:pPr>
            <w:r>
              <w:rPr>
                <w:rFonts w:ascii="宋体" w:hAnsi="宋体" w:eastAsia="宋体"/>
                <w:sz w:val="21"/>
                <w:szCs w:val="21"/>
                <w:lang w:bidi="ar"/>
              </w:rPr>
              <w:t>色度稀释倍数20倍</w:t>
            </w:r>
            <w:r>
              <w:rPr>
                <w:rFonts w:hint="eastAsia" w:ascii="宋体" w:hAnsi="宋体" w:eastAsia="宋体"/>
                <w:sz w:val="21"/>
                <w:szCs w:val="21"/>
                <w:lang w:bidi="ar"/>
              </w:rPr>
              <w:t>以上</w:t>
            </w:r>
            <w:r>
              <w:rPr>
                <w:rFonts w:ascii="宋体" w:hAnsi="宋体" w:eastAsia="宋体"/>
                <w:sz w:val="21"/>
                <w:szCs w:val="21"/>
                <w:lang w:bidi="ar"/>
              </w:rPr>
              <w:t>不足40倍</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100%以上不足300%</w:t>
            </w:r>
          </w:p>
          <w:p>
            <w:pPr>
              <w:spacing w:line="240" w:lineRule="auto"/>
              <w:ind w:firstLine="0"/>
              <w:rPr>
                <w:rFonts w:ascii="宋体" w:hAnsi="宋体" w:eastAsia="宋体"/>
                <w:sz w:val="21"/>
                <w:szCs w:val="21"/>
              </w:rPr>
            </w:pPr>
            <w:r>
              <w:rPr>
                <w:rFonts w:ascii="宋体" w:hAnsi="宋体" w:eastAsia="宋体"/>
                <w:sz w:val="21"/>
                <w:szCs w:val="21"/>
                <w:lang w:bidi="ar"/>
              </w:rPr>
              <w:t>色度稀释倍数</w:t>
            </w:r>
            <w:r>
              <w:rPr>
                <w:rFonts w:hint="eastAsia" w:ascii="宋体" w:hAnsi="宋体" w:eastAsia="宋体"/>
                <w:sz w:val="21"/>
                <w:szCs w:val="21"/>
                <w:lang w:bidi="ar"/>
              </w:rPr>
              <w:t>4</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不足60倍</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300%以上不足500%</w:t>
            </w:r>
          </w:p>
          <w:p>
            <w:pPr>
              <w:spacing w:line="240" w:lineRule="auto"/>
              <w:ind w:firstLine="0"/>
              <w:rPr>
                <w:rFonts w:ascii="宋体" w:hAnsi="宋体" w:eastAsia="宋体"/>
                <w:sz w:val="21"/>
                <w:szCs w:val="21"/>
              </w:rPr>
            </w:pPr>
            <w:r>
              <w:rPr>
                <w:rFonts w:ascii="宋体" w:hAnsi="宋体" w:eastAsia="宋体"/>
                <w:sz w:val="21"/>
                <w:szCs w:val="21"/>
                <w:lang w:bidi="ar"/>
              </w:rPr>
              <w:t>3.5≤pH＜4.5或10.5＜pH≤11.5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w:t>
            </w:r>
            <w:r>
              <w:rPr>
                <w:rFonts w:hint="eastAsia" w:ascii="宋体" w:hAnsi="宋体" w:eastAsia="宋体"/>
                <w:sz w:val="21"/>
                <w:szCs w:val="21"/>
                <w:lang w:bidi="ar"/>
              </w:rPr>
              <w:t>6</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不足80倍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500%以上不足1000%</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w:t>
            </w:r>
            <w:r>
              <w:rPr>
                <w:rFonts w:hint="eastAsia" w:ascii="宋体" w:hAnsi="宋体" w:eastAsia="宋体"/>
                <w:sz w:val="21"/>
                <w:szCs w:val="21"/>
                <w:lang w:bidi="ar"/>
              </w:rPr>
              <w:t>8</w:t>
            </w:r>
            <w:r>
              <w:rPr>
                <w:rFonts w:ascii="宋体" w:hAnsi="宋体" w:eastAsia="宋体"/>
                <w:sz w:val="21"/>
                <w:szCs w:val="21"/>
                <w:lang w:bidi="ar"/>
              </w:rPr>
              <w:t>0倍</w:t>
            </w:r>
            <w:r>
              <w:rPr>
                <w:rFonts w:hint="eastAsia" w:ascii="宋体" w:hAnsi="宋体" w:eastAsia="宋体"/>
                <w:sz w:val="21"/>
                <w:szCs w:val="21"/>
                <w:lang w:bidi="ar"/>
              </w:rPr>
              <w:t>以上</w:t>
            </w:r>
            <w:r>
              <w:rPr>
                <w:rFonts w:ascii="宋体" w:hAnsi="宋体" w:eastAsia="宋体"/>
                <w:sz w:val="21"/>
                <w:szCs w:val="21"/>
                <w:lang w:bidi="ar"/>
              </w:rPr>
              <w:t>不足100倍</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超</w:t>
            </w:r>
            <w:r>
              <w:rPr>
                <w:rFonts w:hint="eastAsia" w:ascii="宋体" w:hAnsi="宋体" w:eastAsia="宋体"/>
                <w:sz w:val="21"/>
                <w:szCs w:val="21"/>
                <w:lang w:bidi="ar"/>
              </w:rPr>
              <w:t>过污染物排放标准</w:t>
            </w:r>
            <w:r>
              <w:rPr>
                <w:rFonts w:ascii="宋体" w:hAnsi="宋体" w:eastAsia="宋体"/>
                <w:sz w:val="21"/>
                <w:szCs w:val="21"/>
                <w:lang w:bidi="ar"/>
              </w:rPr>
              <w:t>1000%以上</w:t>
            </w:r>
          </w:p>
          <w:p>
            <w:pPr>
              <w:spacing w:line="240" w:lineRule="auto"/>
              <w:ind w:firstLine="0"/>
              <w:rPr>
                <w:rFonts w:ascii="宋体" w:hAnsi="宋体" w:eastAsia="宋体"/>
                <w:sz w:val="21"/>
                <w:szCs w:val="21"/>
              </w:rPr>
            </w:pPr>
            <w:r>
              <w:rPr>
                <w:rFonts w:ascii="宋体" w:hAnsi="宋体" w:eastAsia="宋体"/>
                <w:sz w:val="21"/>
                <w:szCs w:val="21"/>
                <w:lang w:bidi="ar"/>
              </w:rPr>
              <w:t>pH＜3.5或pH＞11.5</w:t>
            </w:r>
          </w:p>
          <w:p>
            <w:pPr>
              <w:spacing w:line="240" w:lineRule="auto"/>
              <w:ind w:firstLine="0"/>
              <w:rPr>
                <w:rFonts w:ascii="宋体" w:hAnsi="宋体" w:eastAsia="宋体"/>
                <w:sz w:val="21"/>
                <w:szCs w:val="21"/>
                <w:lang w:bidi="ar"/>
              </w:rPr>
            </w:pPr>
            <w:r>
              <w:rPr>
                <w:rFonts w:ascii="宋体" w:hAnsi="宋体" w:eastAsia="宋体"/>
                <w:sz w:val="21"/>
                <w:szCs w:val="21"/>
                <w:lang w:bidi="ar"/>
              </w:rPr>
              <w:t>色度稀释倍数100倍以上</w:t>
            </w:r>
          </w:p>
        </w:tc>
        <w:tc>
          <w:tcPr>
            <w:tcW w:w="142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日排放量</w:t>
            </w: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不足10吨</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10吨以上不足100吨</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100吨以上不足500吨</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500吨以上不足1000吨</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rPr>
            </w:pPr>
            <w:r>
              <w:rPr>
                <w:rFonts w:ascii="宋体" w:hAnsi="宋体" w:eastAsia="宋体"/>
                <w:sz w:val="21"/>
                <w:szCs w:val="21"/>
              </w:rPr>
              <w:t>1000吨以上</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13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3次</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sz w:val="21"/>
                <w:szCs w:val="21"/>
              </w:rPr>
            </w:pPr>
          </w:p>
        </w:tc>
        <w:tc>
          <w:tcPr>
            <w:tcW w:w="2136" w:type="dxa"/>
            <w:vMerge w:val="continue"/>
            <w:vAlign w:val="center"/>
          </w:tcPr>
          <w:p>
            <w:pPr>
              <w:spacing w:line="240" w:lineRule="auto"/>
              <w:ind w:firstLine="0"/>
              <w:jc w:val="center"/>
              <w:rPr>
                <w:rFonts w:ascii="宋体" w:hAnsi="宋体" w:eastAsia="宋体"/>
                <w:sz w:val="21"/>
                <w:szCs w:val="21"/>
              </w:rPr>
            </w:pPr>
          </w:p>
        </w:tc>
        <w:tc>
          <w:tcPr>
            <w:tcW w:w="4612"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24"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136"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612"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26" w:type="dxa"/>
            <w:vMerge w:val="continue"/>
            <w:vAlign w:val="center"/>
          </w:tcPr>
          <w:p>
            <w:pPr>
              <w:spacing w:line="240" w:lineRule="auto"/>
              <w:ind w:firstLine="0"/>
              <w:jc w:val="center"/>
              <w:rPr>
                <w:rFonts w:ascii="宋体" w:hAnsi="宋体" w:eastAsia="宋体"/>
                <w:b/>
                <w:bCs/>
                <w:sz w:val="21"/>
                <w:szCs w:val="21"/>
              </w:rPr>
            </w:pPr>
          </w:p>
        </w:tc>
        <w:tc>
          <w:tcPr>
            <w:tcW w:w="2136" w:type="dxa"/>
            <w:vMerge w:val="continue"/>
            <w:vAlign w:val="center"/>
          </w:tcPr>
          <w:p>
            <w:pPr>
              <w:spacing w:line="240" w:lineRule="auto"/>
              <w:ind w:firstLine="0" w:firstLineChars="0"/>
              <w:jc w:val="center"/>
              <w:rPr>
                <w:rFonts w:ascii="宋体" w:hAnsi="宋体" w:eastAsia="宋体"/>
                <w:sz w:val="21"/>
                <w:szCs w:val="21"/>
              </w:rPr>
            </w:pPr>
          </w:p>
        </w:tc>
        <w:tc>
          <w:tcPr>
            <w:tcW w:w="4612"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2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水污染防治法》第八十三条规定的“违反本法规定，有下列行为之一的，由县级以上人民政府环境保护主管部门责令改正或者责令限制生产、停产整治,并处十万元以上一百万元以下的罚款；情节严重的,报经有批准权的人民政府批准，责令停业、关闭：(二)超过水污染物排放标准或者超过重点水污染物排放总量控制指标排放水污染物的”情形。</w:t>
      </w:r>
    </w:p>
    <w:p>
      <w:pPr>
        <w:spacing w:line="240" w:lineRule="auto"/>
        <w:ind w:firstLine="420" w:firstLineChars="200"/>
        <w:rPr>
          <w:rFonts w:ascii="宋体" w:hAnsi="宋体" w:eastAsia="宋体"/>
          <w:sz w:val="21"/>
          <w:szCs w:val="21"/>
        </w:rPr>
      </w:pPr>
      <w:r>
        <w:rPr>
          <w:rFonts w:ascii="宋体" w:hAnsi="宋体" w:eastAsia="宋体"/>
          <w:sz w:val="21"/>
          <w:szCs w:val="21"/>
        </w:rPr>
        <w:t>2、超标状况是指对于同一排放口，选取超标倍数最大的污染因子。</w:t>
      </w:r>
    </w:p>
    <w:p>
      <w:pPr>
        <w:spacing w:line="240" w:lineRule="auto"/>
        <w:ind w:firstLine="420" w:firstLineChars="200"/>
        <w:rPr>
          <w:rFonts w:ascii="宋体" w:hAnsi="宋体" w:eastAsia="宋体"/>
          <w:sz w:val="21"/>
          <w:szCs w:val="21"/>
        </w:rPr>
      </w:pPr>
      <w:r>
        <w:rPr>
          <w:rFonts w:ascii="宋体" w:hAnsi="宋体" w:eastAsia="宋体"/>
          <w:sz w:val="21"/>
          <w:szCs w:val="21"/>
        </w:rPr>
        <w:t>3、日排放量是指企业当日排水量，一般以在线监测数据为准；如没有在线监测数据的，按照物料衡算法进行计算。</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4、本表所称的“以上”包括本数，“不足”“以内”不包括本数。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pStyle w:val="2"/>
        <w:rPr>
          <w:rFonts w:hint="eastAsia" w:ascii="宋体" w:hAnsi="宋体" w:eastAsia="宋体"/>
          <w:sz w:val="21"/>
          <w:szCs w:val="21"/>
        </w:rPr>
      </w:pPr>
      <w:r>
        <w:rPr>
          <w:rFonts w:ascii="宋体" w:hAnsi="宋体" w:eastAsia="宋体"/>
          <w:sz w:val="21"/>
          <w:szCs w:val="21"/>
        </w:rPr>
        <w:br w:type="page"/>
      </w:r>
    </w:p>
    <w:p>
      <w:pPr>
        <w:ind w:firstLine="642" w:firstLineChars="200"/>
        <w:outlineLvl w:val="1"/>
        <w:rPr>
          <w:rFonts w:eastAsia="方正楷体_GBK"/>
          <w:sz w:val="24"/>
          <w:szCs w:val="24"/>
        </w:rPr>
      </w:pPr>
      <w:bookmarkStart w:id="7" w:name="_Toc32171"/>
      <w:r>
        <w:rPr>
          <w:rFonts w:eastAsia="方正楷体_GBK"/>
          <w:b/>
          <w:szCs w:val="32"/>
        </w:rPr>
        <w:t>（</w:t>
      </w:r>
      <w:r>
        <w:rPr>
          <w:rFonts w:hint="eastAsia" w:eastAsia="方正楷体_GBK"/>
          <w:b/>
          <w:szCs w:val="32"/>
          <w:lang w:val="en-US" w:eastAsia="zh-CN"/>
        </w:rPr>
        <w:t>八</w:t>
      </w:r>
      <w:r>
        <w:rPr>
          <w:rFonts w:eastAsia="方正楷体_GBK"/>
          <w:b/>
          <w:szCs w:val="32"/>
        </w:rPr>
        <w:t>）违反固体废物管理制度的行为</w:t>
      </w:r>
      <w:bookmarkEnd w:id="7"/>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表8-1  将危险废物提供或者委托给无证单位从事经营活动的裁量标准</w:t>
      </w:r>
    </w:p>
    <w:tbl>
      <w:tblPr>
        <w:tblStyle w:val="9"/>
        <w:tblW w:w="8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2233"/>
        <w:gridCol w:w="4195"/>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4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b/>
                <w:sz w:val="21"/>
                <w:szCs w:val="21"/>
              </w:rPr>
            </w:pPr>
            <w:r>
              <w:rPr>
                <w:rFonts w:ascii="宋体" w:hAnsi="宋体" w:eastAsia="宋体"/>
                <w:b/>
                <w:sz w:val="21"/>
                <w:szCs w:val="21"/>
                <w:lang w:bidi="ar"/>
              </w:rPr>
              <w:t>序号</w:t>
            </w:r>
          </w:p>
        </w:tc>
        <w:tc>
          <w:tcPr>
            <w:tcW w:w="2233"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b/>
                <w:sz w:val="21"/>
                <w:szCs w:val="21"/>
              </w:rPr>
            </w:pPr>
            <w:r>
              <w:rPr>
                <w:rFonts w:ascii="宋体" w:hAnsi="宋体" w:eastAsia="宋体"/>
                <w:b/>
                <w:sz w:val="21"/>
                <w:szCs w:val="21"/>
                <w:lang w:bidi="ar"/>
              </w:rPr>
              <w:t>裁量因素</w:t>
            </w: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b/>
                <w:sz w:val="21"/>
                <w:szCs w:val="21"/>
              </w:rPr>
            </w:pPr>
            <w:r>
              <w:rPr>
                <w:rFonts w:ascii="宋体" w:hAnsi="宋体" w:eastAsia="宋体"/>
                <w:b/>
                <w:sz w:val="21"/>
                <w:szCs w:val="21"/>
                <w:lang w:bidi="ar"/>
              </w:rPr>
              <w:t>裁量因子</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b/>
                <w:sz w:val="21"/>
                <w:szCs w:val="21"/>
              </w:rPr>
            </w:pPr>
            <w:r>
              <w:rPr>
                <w:rFonts w:ascii="宋体" w:hAnsi="宋体" w:eastAsia="宋体"/>
                <w:b/>
                <w:sz w:val="21"/>
                <w:szCs w:val="21"/>
                <w:lang w:bidi="ar"/>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69" w:type="dxa"/>
            <w:gridSpan w:val="3"/>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裁量起点</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restart"/>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w:t>
            </w:r>
          </w:p>
        </w:tc>
        <w:tc>
          <w:tcPr>
            <w:tcW w:w="2233" w:type="dxa"/>
            <w:vMerge w:val="restart"/>
            <w:tcBorders>
              <w:top w:val="nil"/>
              <w:left w:val="nil"/>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涉案危险废物总量</w:t>
            </w: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不足1吨</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lang w:bidi="ar"/>
              </w:rPr>
              <w:t>1吨以上不足3吨</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lang w:bidi="ar"/>
              </w:rPr>
              <w:t>3吨以上不足10吨</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lang w:bidi="ar"/>
              </w:rPr>
              <w:t>10吨以上</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restart"/>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c>
          <w:tcPr>
            <w:tcW w:w="2233" w:type="dxa"/>
            <w:vMerge w:val="restart"/>
            <w:tcBorders>
              <w:top w:val="nil"/>
              <w:left w:val="nil"/>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涉案危险废物去向情况</w:t>
            </w: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lang w:bidi="ar"/>
              </w:rPr>
              <w:t>暂未处置</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rPr>
              <w:t>资源化综合利用</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通过焚烧等方式处理处置</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sz w:val="21"/>
                <w:szCs w:val="21"/>
              </w:rPr>
              <w:t>非法倾倒、填埋</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restart"/>
            <w:tcBorders>
              <w:top w:val="nil"/>
              <w:left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c>
          <w:tcPr>
            <w:tcW w:w="2233" w:type="dxa"/>
            <w:vMerge w:val="restart"/>
            <w:tcBorders>
              <w:left w:val="nil"/>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违法行为持续时间</w:t>
            </w: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不足3个月</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left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3个月以上不足6个月</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left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6个月以上不足12个月</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12个月以上</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restart"/>
            <w:tcBorders>
              <w:top w:val="nil"/>
              <w:left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3" w:type="dxa"/>
            <w:vMerge w:val="restart"/>
            <w:tcBorders>
              <w:top w:val="nil"/>
              <w:left w:val="nil"/>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环境违法次数</w:t>
            </w:r>
          </w:p>
          <w:p>
            <w:pPr>
              <w:spacing w:line="240" w:lineRule="auto"/>
              <w:ind w:firstLine="0"/>
              <w:jc w:val="center"/>
              <w:rPr>
                <w:rFonts w:ascii="宋体" w:hAnsi="宋体" w:eastAsia="宋体"/>
                <w:sz w:val="21"/>
                <w:szCs w:val="21"/>
              </w:rPr>
            </w:pPr>
            <w:r>
              <w:rPr>
                <w:rFonts w:ascii="宋体" w:hAnsi="宋体" w:eastAsia="宋体"/>
                <w:sz w:val="21"/>
                <w:szCs w:val="21"/>
                <w:lang w:bidi="ar"/>
              </w:rPr>
              <w:t>（两年内，含本次）</w:t>
            </w: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left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left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restart"/>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3" w:type="dxa"/>
            <w:vMerge w:val="restart"/>
            <w:tcBorders>
              <w:top w:val="nil"/>
              <w:left w:val="nil"/>
              <w:right w:val="single" w:color="auto" w:sz="4" w:space="0"/>
            </w:tcBorders>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1" w:type="dxa"/>
            <w:vMerge w:val="continue"/>
            <w:tcBorders>
              <w:top w:val="nil"/>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p>
        </w:tc>
        <w:tc>
          <w:tcPr>
            <w:tcW w:w="2233" w:type="dxa"/>
            <w:vMerge w:val="continue"/>
            <w:tcBorders>
              <w:left w:val="nil"/>
              <w:bottom w:val="single" w:color="auto" w:sz="4" w:space="0"/>
              <w:right w:val="single" w:color="auto" w:sz="4" w:space="0"/>
            </w:tcBorders>
            <w:vAlign w:val="center"/>
          </w:tcPr>
          <w:p>
            <w:pPr>
              <w:spacing w:line="240" w:lineRule="auto"/>
              <w:ind w:firstLine="0" w:firstLineChars="0"/>
              <w:jc w:val="center"/>
              <w:rPr>
                <w:rFonts w:ascii="宋体" w:hAnsi="宋体" w:eastAsia="宋体"/>
                <w:sz w:val="21"/>
                <w:szCs w:val="21"/>
              </w:rPr>
            </w:pPr>
          </w:p>
        </w:tc>
        <w:tc>
          <w:tcPr>
            <w:tcW w:w="4195" w:type="dxa"/>
            <w:tcBorders>
              <w:top w:val="single" w:color="auto" w:sz="4" w:space="0"/>
              <w:left w:val="nil"/>
              <w:bottom w:val="single" w:color="auto" w:sz="4" w:space="0"/>
              <w:right w:val="single" w:color="auto" w:sz="4" w:space="0"/>
            </w:tcBorders>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85" w:type="dxa"/>
            <w:tcBorders>
              <w:top w:val="single" w:color="auto" w:sz="4" w:space="0"/>
              <w:left w:val="nil"/>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固体废物污染环境防治法》第一百一十二条规定“违反本法规定，有下列行为之一，由生态环境主管部门责令改正，处以罚款，没收违法所得；情节严重的，报经有批准权的人民政府批准，可以责令停业或者关闭：（四）将危险废物提供或者委托给无许可证的单位或者其他生产经营者从事经营活动的；有前款第四项</w:t>
      </w:r>
      <w:r>
        <w:rPr>
          <w:rFonts w:hint="eastAsia" w:ascii="宋体" w:hAnsi="宋体" w:eastAsia="宋体"/>
          <w:sz w:val="21"/>
          <w:szCs w:val="21"/>
          <w:lang w:eastAsia="zh-CN"/>
        </w:rPr>
        <w:t>……</w:t>
      </w:r>
      <w:r>
        <w:rPr>
          <w:rFonts w:ascii="宋体" w:hAnsi="宋体" w:eastAsia="宋体"/>
          <w:sz w:val="21"/>
          <w:szCs w:val="21"/>
        </w:rPr>
        <w:t>行为之一，处所需处置费用三倍以上五倍以下的罚款，所需处置费用不足二十万元的，按二十万元计算”的情形。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本表裁量计算方法为：罚款金额＝所需处置费用×裁量百分值总和×5倍。</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5</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表8-2  无证或者未按证从事收集、贮存、利用、处置</w:t>
      </w: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危险废物经营活动的裁量标准</w:t>
      </w:r>
    </w:p>
    <w:tbl>
      <w:tblPr>
        <w:tblStyle w:val="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2237"/>
        <w:gridCol w:w="3195"/>
        <w:gridCol w:w="1335"/>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917"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37"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319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2711"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917" w:type="dxa"/>
            <w:vMerge w:val="continue"/>
            <w:vAlign w:val="center"/>
          </w:tcPr>
          <w:p>
            <w:pPr>
              <w:spacing w:line="240" w:lineRule="auto"/>
              <w:ind w:firstLine="0"/>
              <w:jc w:val="center"/>
              <w:rPr>
                <w:rFonts w:ascii="宋体" w:hAnsi="宋体" w:eastAsia="宋体"/>
                <w:b/>
                <w:bCs/>
                <w:sz w:val="21"/>
                <w:szCs w:val="21"/>
              </w:rPr>
            </w:pPr>
          </w:p>
        </w:tc>
        <w:tc>
          <w:tcPr>
            <w:tcW w:w="2237" w:type="dxa"/>
            <w:vMerge w:val="continue"/>
            <w:vAlign w:val="center"/>
          </w:tcPr>
          <w:p>
            <w:pPr>
              <w:spacing w:line="240" w:lineRule="auto"/>
              <w:ind w:firstLine="0"/>
              <w:jc w:val="center"/>
              <w:rPr>
                <w:rFonts w:ascii="宋体" w:hAnsi="宋体" w:eastAsia="宋体"/>
                <w:b/>
                <w:sz w:val="21"/>
                <w:szCs w:val="21"/>
                <w:lang w:bidi="ar"/>
              </w:rPr>
            </w:pPr>
          </w:p>
        </w:tc>
        <w:tc>
          <w:tcPr>
            <w:tcW w:w="3195" w:type="dxa"/>
            <w:vMerge w:val="continue"/>
            <w:vAlign w:val="center"/>
          </w:tcPr>
          <w:p>
            <w:pPr>
              <w:spacing w:line="240" w:lineRule="auto"/>
              <w:ind w:firstLine="0"/>
              <w:jc w:val="center"/>
              <w:rPr>
                <w:rFonts w:ascii="宋体" w:hAnsi="宋体" w:eastAsia="宋体"/>
                <w:b/>
                <w:sz w:val="21"/>
                <w:szCs w:val="21"/>
                <w:lang w:bidi="ar"/>
              </w:rPr>
            </w:pPr>
          </w:p>
        </w:tc>
        <w:tc>
          <w:tcPr>
            <w:tcW w:w="133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无证从事经营活动</w:t>
            </w:r>
          </w:p>
        </w:tc>
        <w:tc>
          <w:tcPr>
            <w:tcW w:w="1376"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未按证从事经营活动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49"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20%</w:t>
            </w:r>
          </w:p>
        </w:tc>
        <w:tc>
          <w:tcPr>
            <w:tcW w:w="137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涉案危险废物总量</w:t>
            </w:r>
          </w:p>
        </w:tc>
        <w:tc>
          <w:tcPr>
            <w:tcW w:w="31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不足1吨</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1吨以上不足3吨</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3吨以上不足10吨</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10吨以上</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28%</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3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涉案危险废物收集、贮存、利用、处置情况</w:t>
            </w: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暂未处置</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资源化综合利用</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通过焚烧等方式处理处置</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非法倾倒、填埋</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32%</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37"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违法行为持续</w:t>
            </w:r>
          </w:p>
          <w:p>
            <w:pPr>
              <w:spacing w:line="240" w:lineRule="auto"/>
              <w:ind w:firstLine="0"/>
              <w:jc w:val="center"/>
              <w:rPr>
                <w:rFonts w:ascii="宋体" w:hAnsi="宋体" w:eastAsia="宋体"/>
                <w:sz w:val="21"/>
                <w:szCs w:val="21"/>
              </w:rPr>
            </w:pPr>
            <w:r>
              <w:rPr>
                <w:rFonts w:ascii="宋体" w:hAnsi="宋体" w:eastAsia="宋体"/>
                <w:sz w:val="21"/>
                <w:szCs w:val="21"/>
                <w:lang w:bidi="ar"/>
              </w:rPr>
              <w:t>时间</w:t>
            </w: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不足3个月</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3个月以上不足6个月</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6个月以上不足12个月</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12个月以上</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37"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环境违法次数</w:t>
            </w:r>
          </w:p>
          <w:p>
            <w:pPr>
              <w:spacing w:line="240" w:lineRule="auto"/>
              <w:ind w:firstLine="0"/>
              <w:jc w:val="center"/>
              <w:rPr>
                <w:rFonts w:ascii="宋体" w:hAnsi="宋体" w:eastAsia="宋体"/>
                <w:sz w:val="21"/>
                <w:szCs w:val="21"/>
              </w:rPr>
            </w:pPr>
            <w:r>
              <w:rPr>
                <w:rFonts w:ascii="宋体" w:hAnsi="宋体" w:eastAsia="宋体"/>
                <w:sz w:val="21"/>
                <w:szCs w:val="21"/>
                <w:lang w:bidi="ar"/>
              </w:rPr>
              <w:t>（两年内，含本次）</w:t>
            </w:r>
          </w:p>
        </w:tc>
        <w:tc>
          <w:tcPr>
            <w:tcW w:w="319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color w:val="00000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5%</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color w:val="000000"/>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sz w:val="21"/>
                <w:szCs w:val="21"/>
              </w:rPr>
            </w:pPr>
          </w:p>
        </w:tc>
        <w:tc>
          <w:tcPr>
            <w:tcW w:w="2237" w:type="dxa"/>
            <w:vMerge w:val="continue"/>
            <w:vAlign w:val="center"/>
          </w:tcPr>
          <w:p>
            <w:pPr>
              <w:spacing w:line="240" w:lineRule="auto"/>
              <w:ind w:firstLine="0"/>
              <w:jc w:val="center"/>
              <w:rPr>
                <w:rFonts w:ascii="宋体" w:hAnsi="宋体" w:eastAsia="宋体"/>
                <w:sz w:val="21"/>
                <w:szCs w:val="21"/>
              </w:rPr>
            </w:pPr>
          </w:p>
        </w:tc>
        <w:tc>
          <w:tcPr>
            <w:tcW w:w="319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33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9%</w:t>
            </w:r>
          </w:p>
        </w:tc>
        <w:tc>
          <w:tcPr>
            <w:tcW w:w="1376"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237"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3195"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137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vMerge w:val="continue"/>
            <w:vAlign w:val="center"/>
          </w:tcPr>
          <w:p>
            <w:pPr>
              <w:spacing w:line="240" w:lineRule="auto"/>
              <w:ind w:firstLine="0"/>
              <w:jc w:val="center"/>
              <w:rPr>
                <w:rFonts w:ascii="宋体" w:hAnsi="宋体" w:eastAsia="宋体"/>
                <w:b/>
                <w:bCs/>
                <w:sz w:val="21"/>
                <w:szCs w:val="21"/>
              </w:rPr>
            </w:pPr>
          </w:p>
        </w:tc>
        <w:tc>
          <w:tcPr>
            <w:tcW w:w="2237" w:type="dxa"/>
            <w:vMerge w:val="continue"/>
            <w:vAlign w:val="center"/>
          </w:tcPr>
          <w:p>
            <w:pPr>
              <w:spacing w:line="240" w:lineRule="auto"/>
              <w:ind w:firstLine="0" w:firstLineChars="0"/>
              <w:jc w:val="center"/>
              <w:rPr>
                <w:rFonts w:ascii="宋体" w:hAnsi="宋体" w:eastAsia="宋体"/>
                <w:sz w:val="21"/>
                <w:szCs w:val="21"/>
              </w:rPr>
            </w:pPr>
          </w:p>
        </w:tc>
        <w:tc>
          <w:tcPr>
            <w:tcW w:w="3195"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33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376"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固体废物污染环境防治法》第一百一十四条规定“无许可证从事收集、贮存、利用、处置危险废物经营活动的，由生态环境主管部门责令改正，处一百万元以上五百万元以下的罚款，并报经有批准权的人民政府批准，责令停业或者关闭；对法定代表人、主要负责人、直接负责的主管人员和其他责任人员，处十万元以上一百万元以下的罚款。未按照许可证规定从事收集、贮存、利用、处置危险废物经营活动的，由生态环境主管部门责令改正，限制生产、停产整治，处五十万元以上二百万元以下的罚款；对法定代表人、主要负责人、直接负责的主管人员和其他责任人员，处五万元以上五十万元以下的罚款；情节严重的，报经有批准权的人民政府批准，责令停业或者关闭，还可以由发证机关吊销许可证”的情形。</w:t>
      </w:r>
    </w:p>
    <w:p>
      <w:pPr>
        <w:spacing w:line="240" w:lineRule="auto"/>
        <w:ind w:firstLine="420" w:firstLineChars="200"/>
        <w:rPr>
          <w:rFonts w:ascii="宋体" w:hAnsi="宋体" w:eastAsia="宋体"/>
          <w:sz w:val="21"/>
          <w:szCs w:val="21"/>
        </w:rPr>
      </w:pPr>
      <w:r>
        <w:rPr>
          <w:rFonts w:ascii="宋体" w:hAnsi="宋体" w:eastAsia="宋体"/>
          <w:sz w:val="21"/>
          <w:szCs w:val="21"/>
        </w:rPr>
        <w:t>2、本表的裁量计算方法如下：</w:t>
      </w:r>
    </w:p>
    <w:p>
      <w:pPr>
        <w:spacing w:line="240" w:lineRule="auto"/>
        <w:ind w:firstLine="420" w:firstLineChars="200"/>
        <w:rPr>
          <w:rFonts w:ascii="宋体" w:hAnsi="宋体" w:eastAsia="宋体"/>
          <w:sz w:val="21"/>
          <w:szCs w:val="21"/>
        </w:rPr>
      </w:pPr>
      <w:r>
        <w:rPr>
          <w:rFonts w:ascii="宋体" w:hAnsi="宋体" w:eastAsia="宋体"/>
          <w:sz w:val="21"/>
          <w:szCs w:val="21"/>
        </w:rPr>
        <w:t>（1）无证从事经营活动的罚款金额=无证从事经营活动及时改正的裁量百分值总和×500万；</w:t>
      </w:r>
    </w:p>
    <w:p>
      <w:pPr>
        <w:spacing w:line="240" w:lineRule="auto"/>
        <w:ind w:firstLine="420" w:firstLineChars="200"/>
        <w:rPr>
          <w:rFonts w:ascii="宋体" w:hAnsi="宋体" w:eastAsia="宋体"/>
          <w:sz w:val="21"/>
          <w:szCs w:val="21"/>
        </w:rPr>
      </w:pPr>
      <w:r>
        <w:rPr>
          <w:rFonts w:ascii="宋体" w:hAnsi="宋体" w:eastAsia="宋体"/>
          <w:sz w:val="21"/>
          <w:szCs w:val="21"/>
        </w:rPr>
        <w:t>（2）未按证从事经营活动的罚款金额=未按证从事经营活动及时改正的裁量百分值总和×200万。</w:t>
      </w:r>
    </w:p>
    <w:p>
      <w:pPr>
        <w:spacing w:line="240" w:lineRule="auto"/>
        <w:ind w:firstLine="420" w:firstLineChars="200"/>
        <w:rPr>
          <w:rFonts w:ascii="宋体" w:hAnsi="宋体" w:eastAsia="宋体"/>
          <w:sz w:val="21"/>
          <w:szCs w:val="21"/>
        </w:rPr>
      </w:pPr>
      <w:r>
        <w:rPr>
          <w:rFonts w:ascii="宋体" w:hAnsi="宋体" w:eastAsia="宋体"/>
          <w:sz w:val="21"/>
          <w:szCs w:val="21"/>
        </w:rPr>
        <w:t>3、对直接负责的主管人员和其他责任人员的罚款金额按照表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0"/>
        <w:jc w:val="center"/>
        <w:rPr>
          <w:rFonts w:ascii="宋体" w:hAnsi="宋体" w:eastAsia="宋体"/>
          <w:sz w:val="21"/>
          <w:szCs w:val="21"/>
        </w:rPr>
      </w:pPr>
    </w:p>
    <w:p>
      <w:pPr>
        <w:ind w:firstLine="0"/>
        <w:jc w:val="center"/>
        <w:rPr>
          <w:rFonts w:eastAsia="方正楷体_GBK"/>
          <w:sz w:val="28"/>
          <w:szCs w:val="32"/>
        </w:rPr>
      </w:pPr>
      <w:r>
        <w:rPr>
          <w:rFonts w:ascii="宋体" w:hAnsi="宋体" w:eastAsia="宋体"/>
          <w:sz w:val="21"/>
          <w:szCs w:val="21"/>
        </w:rPr>
        <w:br w:type="page"/>
      </w:r>
      <w:r>
        <w:rPr>
          <w:rFonts w:hint="eastAsia" w:ascii="华文仿宋" w:hAnsi="华文仿宋" w:eastAsia="华文仿宋" w:cs="华文仿宋"/>
          <w:snapToGrid w:val="0"/>
          <w:sz w:val="28"/>
          <w:szCs w:val="18"/>
          <w:lang w:val="en-US" w:eastAsia="zh-CN" w:bidi="ar-SA"/>
        </w:rPr>
        <w:t>表8-3  擅自倾倒、堆放危险废物的裁量标准</w:t>
      </w:r>
    </w:p>
    <w:tbl>
      <w:tblPr>
        <w:tblStyle w:val="9"/>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2275"/>
        <w:gridCol w:w="4319"/>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75"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裁量因素</w:t>
            </w:r>
          </w:p>
        </w:tc>
        <w:tc>
          <w:tcPr>
            <w:tcW w:w="4319" w:type="dxa"/>
            <w:vAlign w:val="center"/>
          </w:tcPr>
          <w:p>
            <w:pPr>
              <w:spacing w:line="240" w:lineRule="auto"/>
              <w:ind w:firstLine="0"/>
              <w:jc w:val="center"/>
              <w:rPr>
                <w:rFonts w:ascii="宋体" w:hAnsi="宋体" w:eastAsia="宋体"/>
                <w:b/>
                <w:bCs/>
                <w:sz w:val="21"/>
                <w:szCs w:val="21"/>
              </w:rPr>
            </w:pPr>
            <w:r>
              <w:rPr>
                <w:rFonts w:ascii="宋体" w:hAnsi="宋体" w:eastAsia="宋体"/>
                <w:b/>
                <w:sz w:val="21"/>
                <w:szCs w:val="21"/>
                <w:lang w:bidi="ar"/>
              </w:rPr>
              <w:t>裁量因子</w:t>
            </w:r>
          </w:p>
        </w:tc>
        <w:tc>
          <w:tcPr>
            <w:tcW w:w="149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539"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7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涉案</w:t>
            </w:r>
            <w:r>
              <w:rPr>
                <w:rFonts w:hint="eastAsia" w:ascii="宋体" w:hAnsi="宋体" w:eastAsia="宋体"/>
                <w:sz w:val="21"/>
                <w:szCs w:val="21"/>
              </w:rPr>
              <w:t>危险</w:t>
            </w:r>
            <w:r>
              <w:rPr>
                <w:rFonts w:ascii="宋体" w:hAnsi="宋体" w:eastAsia="宋体"/>
                <w:sz w:val="21"/>
                <w:szCs w:val="21"/>
              </w:rPr>
              <w:t>废物总量</w:t>
            </w:r>
          </w:p>
        </w:tc>
        <w:tc>
          <w:tcPr>
            <w:tcW w:w="4319"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不足1吨</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1吨以上不足3吨</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3吨以上不足10吨</w:t>
            </w:r>
          </w:p>
        </w:tc>
        <w:tc>
          <w:tcPr>
            <w:tcW w:w="149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10吨以上</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75" w:type="dxa"/>
            <w:vMerge w:val="restart"/>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倾倒、堆放地点</w:t>
            </w:r>
          </w:p>
        </w:tc>
        <w:tc>
          <w:tcPr>
            <w:tcW w:w="4319" w:type="dxa"/>
            <w:vAlign w:val="center"/>
          </w:tcPr>
          <w:p>
            <w:pPr>
              <w:spacing w:line="240" w:lineRule="auto"/>
              <w:ind w:firstLine="0" w:firstLineChars="0"/>
              <w:rPr>
                <w:rFonts w:ascii="宋体" w:hAnsi="宋体" w:eastAsia="宋体"/>
                <w:sz w:val="21"/>
                <w:szCs w:val="21"/>
                <w:lang w:bidi="ar"/>
              </w:rPr>
            </w:pPr>
            <w:r>
              <w:rPr>
                <w:rFonts w:ascii="宋体" w:hAnsi="宋体" w:eastAsia="宋体"/>
                <w:color w:val="000000"/>
                <w:sz w:val="21"/>
                <w:szCs w:val="21"/>
                <w:lang w:bidi="ar"/>
              </w:rPr>
              <w:t>在生态保护红线区域外</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饮用水水源一级保护区</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75"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环境违法次数</w:t>
            </w:r>
          </w:p>
          <w:p>
            <w:pPr>
              <w:spacing w:line="240" w:lineRule="auto"/>
              <w:ind w:firstLine="0"/>
              <w:jc w:val="center"/>
              <w:rPr>
                <w:rFonts w:ascii="宋体" w:hAnsi="宋体" w:eastAsia="宋体"/>
                <w:sz w:val="21"/>
                <w:szCs w:val="21"/>
              </w:rPr>
            </w:pPr>
            <w:r>
              <w:rPr>
                <w:rFonts w:ascii="宋体" w:hAnsi="宋体" w:eastAsia="宋体"/>
                <w:sz w:val="21"/>
                <w:szCs w:val="21"/>
                <w:lang w:bidi="ar"/>
              </w:rPr>
              <w:t>（两年内，含本次）</w:t>
            </w:r>
          </w:p>
        </w:tc>
        <w:tc>
          <w:tcPr>
            <w:tcW w:w="431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sz w:val="21"/>
                <w:szCs w:val="21"/>
              </w:rPr>
            </w:pPr>
          </w:p>
        </w:tc>
        <w:tc>
          <w:tcPr>
            <w:tcW w:w="2275" w:type="dxa"/>
            <w:vMerge w:val="continue"/>
            <w:vAlign w:val="center"/>
          </w:tcPr>
          <w:p>
            <w:pPr>
              <w:spacing w:line="240" w:lineRule="auto"/>
              <w:ind w:firstLine="0"/>
              <w:jc w:val="center"/>
              <w:rPr>
                <w:rFonts w:ascii="宋体" w:hAnsi="宋体" w:eastAsia="宋体"/>
                <w:sz w:val="21"/>
                <w:szCs w:val="21"/>
              </w:rPr>
            </w:pPr>
          </w:p>
        </w:tc>
        <w:tc>
          <w:tcPr>
            <w:tcW w:w="431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75"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319"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45" w:type="dxa"/>
            <w:vMerge w:val="continue"/>
            <w:vAlign w:val="center"/>
          </w:tcPr>
          <w:p>
            <w:pPr>
              <w:spacing w:line="240" w:lineRule="auto"/>
              <w:ind w:firstLine="0"/>
              <w:jc w:val="center"/>
              <w:rPr>
                <w:rFonts w:ascii="宋体" w:hAnsi="宋体" w:eastAsia="宋体"/>
                <w:b/>
                <w:bCs/>
                <w:sz w:val="21"/>
                <w:szCs w:val="21"/>
              </w:rPr>
            </w:pPr>
          </w:p>
        </w:tc>
        <w:tc>
          <w:tcPr>
            <w:tcW w:w="2275" w:type="dxa"/>
            <w:vMerge w:val="continue"/>
            <w:vAlign w:val="center"/>
          </w:tcPr>
          <w:p>
            <w:pPr>
              <w:spacing w:line="240" w:lineRule="auto"/>
              <w:ind w:firstLine="0" w:firstLineChars="0"/>
              <w:jc w:val="center"/>
              <w:rPr>
                <w:rFonts w:ascii="宋体" w:hAnsi="宋体" w:eastAsia="宋体"/>
                <w:sz w:val="21"/>
                <w:szCs w:val="21"/>
              </w:rPr>
            </w:pPr>
          </w:p>
        </w:tc>
        <w:tc>
          <w:tcPr>
            <w:tcW w:w="4319"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49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固体废物污染环境防治法》第一百一十二条规定“违反本法规定，有下列行为之一，由生态环境主管部门责令改正，处以罚款，没收违法所得；情节严重的，报经有批准权的人民政府批准，可以责令停业或者关闭：（三）擅自倾倒、堆放危险废物的；有前款第三项</w:t>
      </w:r>
      <w:r>
        <w:rPr>
          <w:rFonts w:hint="eastAsia" w:ascii="宋体" w:hAnsi="宋体" w:eastAsia="宋体"/>
          <w:sz w:val="21"/>
          <w:szCs w:val="21"/>
          <w:lang w:eastAsia="zh-CN"/>
        </w:rPr>
        <w:t>……</w:t>
      </w:r>
      <w:r>
        <w:rPr>
          <w:rFonts w:ascii="宋体" w:hAnsi="宋体" w:eastAsia="宋体"/>
          <w:sz w:val="21"/>
          <w:szCs w:val="21"/>
        </w:rPr>
        <w:t>行为之一，处所需处置费用三倍以上五倍以下的罚款，所需处置费用不足二十万元的，按二十万元计算”的情形。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本表裁量计算方法为：罚款金额＝所需处置费用×裁量百分值总和×5倍。</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建设项目地点出现以下情形的，按照如下规则进行裁量：</w:t>
      </w:r>
    </w:p>
    <w:p>
      <w:pPr>
        <w:spacing w:line="240" w:lineRule="auto"/>
        <w:ind w:firstLine="420" w:firstLineChars="200"/>
        <w:rPr>
          <w:rFonts w:ascii="宋体" w:hAnsi="宋体" w:eastAsia="宋体"/>
          <w:sz w:val="21"/>
          <w:szCs w:val="21"/>
        </w:rPr>
      </w:pPr>
      <w:r>
        <w:rPr>
          <w:rFonts w:ascii="宋体" w:hAnsi="宋体" w:eastAsia="宋体"/>
          <w:sz w:val="21"/>
          <w:szCs w:val="21"/>
        </w:rPr>
        <w:t>（1）自然保护地未纳入生态保护红线区域的，按照自然保护地一般控制区进行裁量；</w:t>
      </w:r>
    </w:p>
    <w:p>
      <w:pPr>
        <w:spacing w:line="240" w:lineRule="auto"/>
        <w:ind w:firstLine="420" w:firstLineChars="200"/>
        <w:rPr>
          <w:rFonts w:ascii="宋体" w:hAnsi="宋体" w:eastAsia="宋体"/>
          <w:sz w:val="21"/>
          <w:szCs w:val="21"/>
        </w:rPr>
      </w:pPr>
      <w:r>
        <w:rPr>
          <w:rFonts w:ascii="宋体" w:hAnsi="宋体" w:eastAsia="宋体"/>
          <w:sz w:val="21"/>
          <w:szCs w:val="21"/>
        </w:rPr>
        <w:t>（2）饮用水水源准水源保护区纳入生态保护红线区域的，按照在生态保护红线区域内（除自然保护地核心保护区外）进行裁量；饮用水水源准水源保护区未纳入生态保护红线区域的，按照在生态保护红线区域外进行裁量；</w:t>
      </w:r>
    </w:p>
    <w:p>
      <w:pPr>
        <w:spacing w:line="240" w:lineRule="auto"/>
        <w:ind w:firstLine="420" w:firstLineChars="200"/>
        <w:rPr>
          <w:rFonts w:ascii="宋体" w:hAnsi="宋体" w:eastAsia="宋体"/>
          <w:sz w:val="21"/>
          <w:szCs w:val="21"/>
        </w:rPr>
      </w:pPr>
      <w:r>
        <w:rPr>
          <w:rFonts w:ascii="宋体" w:hAnsi="宋体" w:eastAsia="宋体"/>
          <w:sz w:val="21"/>
          <w:szCs w:val="21"/>
        </w:rPr>
        <w:t>（3）如同时满足不同分类要求的，选择裁量百分值较重的类别进行裁量。</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5、</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pStyle w:val="2"/>
        <w:rPr>
          <w:rFonts w:hint="eastAsia"/>
        </w:rPr>
      </w:pPr>
    </w:p>
    <w:p>
      <w:pPr>
        <w:ind w:firstLine="642" w:firstLineChars="200"/>
        <w:outlineLvl w:val="1"/>
        <w:rPr>
          <w:rFonts w:eastAsia="方正楷体_GBK"/>
          <w:szCs w:val="24"/>
        </w:rPr>
      </w:pPr>
      <w:bookmarkStart w:id="8" w:name="_Toc24264"/>
      <w:r>
        <w:rPr>
          <w:rFonts w:eastAsia="方正楷体_GBK"/>
          <w:b/>
          <w:szCs w:val="32"/>
        </w:rPr>
        <w:t>（</w:t>
      </w:r>
      <w:r>
        <w:rPr>
          <w:rFonts w:hint="eastAsia" w:eastAsia="方正楷体_GBK"/>
          <w:b/>
          <w:szCs w:val="32"/>
          <w:lang w:val="en-US" w:eastAsia="zh-CN"/>
        </w:rPr>
        <w:t>九</w:t>
      </w:r>
      <w:r>
        <w:rPr>
          <w:rFonts w:eastAsia="方正楷体_GBK"/>
          <w:b/>
          <w:szCs w:val="32"/>
        </w:rPr>
        <w:t>）违反土壤污染防治管理制度的行为</w:t>
      </w:r>
      <w:bookmarkEnd w:id="8"/>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表9-1 未按照规定进行土壤污染风险管控和修复的裁量标准</w:t>
      </w:r>
    </w:p>
    <w:tbl>
      <w:tblPr>
        <w:tblStyle w:val="9"/>
        <w:tblW w:w="9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781"/>
        <w:gridCol w:w="4176"/>
        <w:gridCol w:w="1044"/>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1781"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176"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2154"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Merge w:val="continue"/>
            <w:vAlign w:val="center"/>
          </w:tcPr>
          <w:p>
            <w:pPr>
              <w:spacing w:line="240" w:lineRule="auto"/>
              <w:ind w:firstLine="0"/>
              <w:jc w:val="center"/>
              <w:rPr>
                <w:rFonts w:ascii="宋体" w:hAnsi="宋体" w:eastAsia="宋体"/>
                <w:sz w:val="21"/>
                <w:szCs w:val="21"/>
              </w:rPr>
            </w:pPr>
          </w:p>
        </w:tc>
        <w:tc>
          <w:tcPr>
            <w:tcW w:w="1044"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及时</w:t>
            </w:r>
          </w:p>
          <w:p>
            <w:pPr>
              <w:spacing w:line="240" w:lineRule="auto"/>
              <w:ind w:firstLine="0"/>
              <w:jc w:val="center"/>
              <w:rPr>
                <w:rFonts w:ascii="宋体" w:hAnsi="宋体" w:eastAsia="宋体"/>
                <w:b/>
                <w:bCs/>
                <w:sz w:val="21"/>
                <w:szCs w:val="21"/>
              </w:rPr>
            </w:pPr>
            <w:r>
              <w:rPr>
                <w:rFonts w:ascii="宋体" w:hAnsi="宋体" w:eastAsia="宋体"/>
                <w:b/>
                <w:bCs/>
                <w:sz w:val="21"/>
                <w:szCs w:val="21"/>
              </w:rPr>
              <w:t>改正</w:t>
            </w:r>
          </w:p>
        </w:tc>
        <w:tc>
          <w:tcPr>
            <w:tcW w:w="111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拒不</w:t>
            </w:r>
          </w:p>
          <w:p>
            <w:pPr>
              <w:spacing w:line="240" w:lineRule="auto"/>
              <w:ind w:firstLine="0"/>
              <w:jc w:val="center"/>
              <w:rPr>
                <w:rFonts w:ascii="宋体" w:hAnsi="宋体" w:eastAsia="宋体"/>
                <w:b/>
                <w:bCs/>
                <w:sz w:val="21"/>
                <w:szCs w:val="21"/>
              </w:rPr>
            </w:pPr>
            <w:r>
              <w:rPr>
                <w:rFonts w:ascii="宋体" w:hAnsi="宋体" w:eastAsia="宋体"/>
                <w:b/>
                <w:bCs/>
                <w:sz w:val="21"/>
                <w:szCs w:val="21"/>
              </w:rPr>
              <w:t>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857"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178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污染地下水方量</w:t>
            </w: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不足400立方米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400立方米以上不足1000立方米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1000立方米以上不足5000立方米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5000立方米以上</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26%</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178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污染土壤方量</w:t>
            </w: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不足400立方米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400立方米以上不足1000立方米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1000立方米以上不足5000立方米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5000立方米以上不足10000立方米</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10000立方米以上</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27%</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178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责任主体</w:t>
            </w: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非土壤污染重点监管单位</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b/>
                <w:bCs/>
                <w:sz w:val="21"/>
                <w:szCs w:val="21"/>
              </w:rPr>
            </w:pPr>
            <w:r>
              <w:rPr>
                <w:rFonts w:ascii="宋体" w:hAnsi="宋体" w:eastAsia="宋体"/>
                <w:sz w:val="21"/>
                <w:szCs w:val="21"/>
              </w:rPr>
              <w:t>土壤污染重点监管单位</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178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土地性质</w:t>
            </w: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建设用地</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rPr>
            </w:pPr>
            <w:r>
              <w:rPr>
                <w:rFonts w:ascii="宋体" w:hAnsi="宋体" w:eastAsia="宋体"/>
                <w:sz w:val="21"/>
                <w:szCs w:val="21"/>
              </w:rPr>
              <w:t>农用地</w:t>
            </w:r>
          </w:p>
        </w:tc>
        <w:tc>
          <w:tcPr>
            <w:tcW w:w="1044"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14%</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78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环境违法次数（两年内，含本次）</w:t>
            </w:r>
          </w:p>
        </w:tc>
        <w:tc>
          <w:tcPr>
            <w:tcW w:w="4176"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044"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0%</w:t>
            </w:r>
          </w:p>
        </w:tc>
        <w:tc>
          <w:tcPr>
            <w:tcW w:w="111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044"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2%</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3次</w:t>
            </w:r>
          </w:p>
        </w:tc>
        <w:tc>
          <w:tcPr>
            <w:tcW w:w="1044"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sz w:val="21"/>
                <w:szCs w:val="21"/>
              </w:rPr>
            </w:pPr>
          </w:p>
        </w:tc>
        <w:tc>
          <w:tcPr>
            <w:tcW w:w="1781" w:type="dxa"/>
            <w:vMerge w:val="continue"/>
            <w:vAlign w:val="center"/>
          </w:tcPr>
          <w:p>
            <w:pPr>
              <w:spacing w:line="240" w:lineRule="auto"/>
              <w:ind w:firstLine="0"/>
              <w:jc w:val="center"/>
              <w:rPr>
                <w:rFonts w:ascii="宋体" w:hAnsi="宋体" w:eastAsia="宋体"/>
                <w:sz w:val="21"/>
                <w:szCs w:val="21"/>
              </w:rPr>
            </w:pPr>
          </w:p>
        </w:tc>
        <w:tc>
          <w:tcPr>
            <w:tcW w:w="4176"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044"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c>
          <w:tcPr>
            <w:tcW w:w="111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1781"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17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04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00" w:type="dxa"/>
            <w:vMerge w:val="continue"/>
            <w:vAlign w:val="center"/>
          </w:tcPr>
          <w:p>
            <w:pPr>
              <w:spacing w:line="240" w:lineRule="auto"/>
              <w:ind w:firstLine="0"/>
              <w:jc w:val="center"/>
              <w:rPr>
                <w:rFonts w:ascii="宋体" w:hAnsi="宋体" w:eastAsia="宋体"/>
                <w:b/>
                <w:bCs/>
                <w:sz w:val="21"/>
                <w:szCs w:val="21"/>
              </w:rPr>
            </w:pPr>
          </w:p>
        </w:tc>
        <w:tc>
          <w:tcPr>
            <w:tcW w:w="1781" w:type="dxa"/>
            <w:vMerge w:val="continue"/>
            <w:vAlign w:val="center"/>
          </w:tcPr>
          <w:p>
            <w:pPr>
              <w:spacing w:line="240" w:lineRule="auto"/>
              <w:ind w:firstLine="0" w:firstLineChars="0"/>
              <w:jc w:val="center"/>
              <w:rPr>
                <w:rFonts w:ascii="宋体" w:hAnsi="宋体" w:eastAsia="宋体"/>
                <w:sz w:val="21"/>
                <w:szCs w:val="21"/>
              </w:rPr>
            </w:pPr>
          </w:p>
        </w:tc>
        <w:tc>
          <w:tcPr>
            <w:tcW w:w="417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044"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注：1、本表适用于《中华人民共和国土壤污染防治法》第九十四条规定“ 违反本法规定，土壤污染责任人或者土地使用权人有下列行为之一的，由地方人民政府生态环境主管部门或者其他负有土壤污染防治监督管理职责的部门责令改正，处二万元以上二十万元以下的罚款；拒不改正的，处二十万元以上一百万元以下的罚款，并委托他人代为履行，所需费用由土壤污染责任人或者土地使用权人承担；对直接负责的主管人员和其他直接责任人员处五千元以上二万元以下的罚款：（三）未按照规定采取风险管控措施的；（四）未按照规定实施修复的”情形。</w:t>
      </w:r>
    </w:p>
    <w:p>
      <w:pPr>
        <w:spacing w:line="240" w:lineRule="auto"/>
        <w:ind w:firstLine="420" w:firstLineChars="200"/>
        <w:rPr>
          <w:rFonts w:ascii="宋体" w:hAnsi="宋体" w:eastAsia="宋体"/>
          <w:sz w:val="21"/>
          <w:szCs w:val="21"/>
        </w:rPr>
      </w:pPr>
      <w:r>
        <w:rPr>
          <w:rFonts w:ascii="宋体" w:hAnsi="宋体" w:eastAsia="宋体"/>
          <w:sz w:val="21"/>
          <w:szCs w:val="21"/>
        </w:rPr>
        <w:t>2、</w:t>
      </w:r>
      <w:r>
        <w:rPr>
          <w:rFonts w:ascii="宋体" w:hAnsi="宋体" w:eastAsia="宋体"/>
          <w:sz w:val="21"/>
          <w:szCs w:val="21"/>
          <w:highlight w:val="none"/>
        </w:rPr>
        <w:t>污染地下水方量、污染土壤方量根据</w:t>
      </w:r>
      <w:r>
        <w:rPr>
          <w:rFonts w:hint="eastAsia" w:ascii="宋体" w:hAnsi="宋体" w:eastAsia="宋体"/>
          <w:sz w:val="21"/>
          <w:szCs w:val="21"/>
          <w:highlight w:val="none"/>
          <w:lang w:eastAsia="zh-CN"/>
        </w:rPr>
        <w:t>当事人</w:t>
      </w:r>
      <w:r>
        <w:rPr>
          <w:rFonts w:ascii="宋体" w:hAnsi="宋体" w:eastAsia="宋体"/>
          <w:sz w:val="21"/>
          <w:szCs w:val="21"/>
          <w:highlight w:val="none"/>
        </w:rPr>
        <w:t>的调查报告、风险评估报告来认定。</w:t>
      </w:r>
    </w:p>
    <w:p>
      <w:pPr>
        <w:spacing w:line="240" w:lineRule="auto"/>
        <w:ind w:firstLine="420" w:firstLineChars="200"/>
        <w:rPr>
          <w:rFonts w:ascii="宋体" w:hAnsi="宋体" w:eastAsia="宋体"/>
          <w:sz w:val="21"/>
          <w:szCs w:val="21"/>
        </w:rPr>
      </w:pPr>
      <w:r>
        <w:rPr>
          <w:rFonts w:ascii="宋体" w:hAnsi="宋体" w:eastAsia="宋体"/>
          <w:sz w:val="21"/>
          <w:szCs w:val="21"/>
        </w:rPr>
        <w:t>3、土地性质分类按照《土地利用现状分类》（GB/T 21010-2017）的规定执行。</w:t>
      </w:r>
    </w:p>
    <w:p>
      <w:pPr>
        <w:spacing w:line="240" w:lineRule="auto"/>
        <w:ind w:firstLine="420" w:firstLineChars="200"/>
        <w:rPr>
          <w:rFonts w:ascii="宋体" w:hAnsi="宋体" w:eastAsia="宋体"/>
          <w:sz w:val="21"/>
          <w:szCs w:val="21"/>
        </w:rPr>
      </w:pPr>
      <w:r>
        <w:rPr>
          <w:rFonts w:ascii="宋体" w:hAnsi="宋体" w:eastAsia="宋体"/>
          <w:sz w:val="21"/>
          <w:szCs w:val="21"/>
        </w:rPr>
        <w:t>4、土壤污染重点监管单位是指列入本省发布土壤污染重点监管单位名录的企业。</w:t>
      </w:r>
    </w:p>
    <w:p>
      <w:pPr>
        <w:spacing w:line="240" w:lineRule="auto"/>
        <w:ind w:firstLine="420" w:firstLineChars="200"/>
        <w:rPr>
          <w:rFonts w:ascii="宋体" w:hAnsi="宋体" w:eastAsia="宋体"/>
          <w:sz w:val="21"/>
          <w:szCs w:val="21"/>
        </w:rPr>
      </w:pPr>
      <w:r>
        <w:rPr>
          <w:rFonts w:ascii="宋体" w:hAnsi="宋体" w:eastAsia="宋体"/>
          <w:sz w:val="21"/>
          <w:szCs w:val="21"/>
        </w:rPr>
        <w:t>5、拒不改正是指</w:t>
      </w:r>
      <w:r>
        <w:rPr>
          <w:rFonts w:hint="eastAsia" w:ascii="宋体" w:hAnsi="宋体" w:eastAsia="宋体"/>
          <w:sz w:val="21"/>
          <w:szCs w:val="21"/>
          <w:lang w:eastAsia="zh-CN"/>
        </w:rPr>
        <w:t>当事人</w:t>
      </w:r>
      <w:r>
        <w:rPr>
          <w:rFonts w:ascii="宋体" w:hAnsi="宋体" w:eastAsia="宋体"/>
          <w:sz w:val="21"/>
          <w:szCs w:val="21"/>
        </w:rPr>
        <w:t>在规定的期限内未按照规定采取风险管控措施或未按照规定实施修复的。</w:t>
      </w:r>
    </w:p>
    <w:p>
      <w:pPr>
        <w:spacing w:line="240" w:lineRule="auto"/>
        <w:ind w:firstLine="420" w:firstLineChars="200"/>
        <w:rPr>
          <w:rFonts w:ascii="宋体" w:hAnsi="宋体" w:eastAsia="宋体"/>
          <w:sz w:val="21"/>
          <w:szCs w:val="21"/>
        </w:rPr>
      </w:pPr>
      <w:r>
        <w:rPr>
          <w:rFonts w:ascii="宋体" w:hAnsi="宋体" w:eastAsia="宋体"/>
          <w:sz w:val="21"/>
          <w:szCs w:val="21"/>
        </w:rPr>
        <w:t>6、对直接负责的主管人员和其他责任人员的罚款金额按照表</w:t>
      </w:r>
      <w:r>
        <w:rPr>
          <w:rFonts w:hint="eastAsia" w:ascii="宋体" w:hAnsi="宋体" w:eastAsia="宋体"/>
          <w:sz w:val="21"/>
          <w:szCs w:val="21"/>
          <w:lang w:eastAsia="zh-CN"/>
        </w:rPr>
        <w:t>1</w:t>
      </w:r>
      <w:r>
        <w:rPr>
          <w:rFonts w:hint="eastAsia" w:ascii="宋体" w:hAnsi="宋体" w:eastAsia="宋体"/>
          <w:sz w:val="21"/>
          <w:szCs w:val="21"/>
          <w:lang w:val="en-US" w:eastAsia="zh-CN"/>
        </w:rPr>
        <w:t>2</w:t>
      </w:r>
      <w:r>
        <w:rPr>
          <w:rFonts w:hint="eastAsia" w:ascii="宋体" w:hAnsi="宋体" w:eastAsia="宋体"/>
          <w:sz w:val="21"/>
          <w:szCs w:val="21"/>
          <w:lang w:eastAsia="zh-CN"/>
        </w:rPr>
        <w:t>-3</w:t>
      </w:r>
      <w:r>
        <w:rPr>
          <w:rFonts w:ascii="宋体" w:hAnsi="宋体" w:eastAsia="宋体"/>
          <w:sz w:val="21"/>
          <w:szCs w:val="21"/>
        </w:rPr>
        <w:t>进行裁量。</w:t>
      </w:r>
    </w:p>
    <w:p>
      <w:pPr>
        <w:spacing w:line="240" w:lineRule="auto"/>
        <w:ind w:firstLine="420" w:firstLineChars="200"/>
        <w:rPr>
          <w:rFonts w:ascii="宋体" w:hAnsi="宋体" w:eastAsia="宋体"/>
          <w:sz w:val="21"/>
          <w:szCs w:val="21"/>
        </w:rPr>
      </w:pPr>
      <w:r>
        <w:rPr>
          <w:rFonts w:ascii="宋体" w:hAnsi="宋体" w:eastAsia="宋体"/>
          <w:sz w:val="21"/>
          <w:szCs w:val="21"/>
        </w:rPr>
        <w:t>7、本表所称的“以上”包括本数，“不足”不包括本数。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8、环境违法次数（两年内、含本次）指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9</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10</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0"/>
        <w:jc w:val="center"/>
        <w:rPr>
          <w:rFonts w:eastAsia="方正楷体_GBK"/>
        </w:rPr>
      </w:pPr>
      <w:r>
        <w:rPr>
          <w:rFonts w:ascii="宋体" w:hAnsi="宋体" w:eastAsia="宋体"/>
          <w:sz w:val="21"/>
          <w:szCs w:val="21"/>
        </w:rPr>
        <w:br w:type="page"/>
      </w:r>
      <w:r>
        <w:rPr>
          <w:rFonts w:hint="eastAsia" w:ascii="华文仿宋" w:hAnsi="华文仿宋" w:eastAsia="华文仿宋" w:cs="华文仿宋"/>
          <w:snapToGrid w:val="0"/>
          <w:sz w:val="28"/>
          <w:szCs w:val="18"/>
          <w:lang w:val="en-US" w:eastAsia="zh-CN" w:bidi="ar-SA"/>
        </w:rPr>
        <w:t>表9-2 向农用地排放重金属或者其他有毒有害物质的裁量标准</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2055"/>
        <w:gridCol w:w="3847"/>
        <w:gridCol w:w="1110"/>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05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3847"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2152"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915" w:type="dxa"/>
            <w:vMerge w:val="continue"/>
            <w:vAlign w:val="center"/>
          </w:tcPr>
          <w:p>
            <w:pPr>
              <w:spacing w:line="240" w:lineRule="auto"/>
              <w:ind w:firstLine="0"/>
              <w:jc w:val="center"/>
              <w:rPr>
                <w:rFonts w:ascii="宋体" w:hAnsi="宋体" w:eastAsia="宋体"/>
                <w:b/>
                <w:bCs/>
                <w:sz w:val="21"/>
                <w:szCs w:val="21"/>
              </w:rPr>
            </w:pPr>
          </w:p>
        </w:tc>
        <w:tc>
          <w:tcPr>
            <w:tcW w:w="2055" w:type="dxa"/>
            <w:vMerge w:val="continue"/>
            <w:vAlign w:val="center"/>
          </w:tcPr>
          <w:p>
            <w:pPr>
              <w:spacing w:line="240" w:lineRule="auto"/>
              <w:ind w:firstLine="0"/>
              <w:jc w:val="center"/>
              <w:rPr>
                <w:rFonts w:ascii="宋体" w:hAnsi="宋体" w:eastAsia="宋体"/>
                <w:b/>
                <w:bCs/>
                <w:sz w:val="21"/>
                <w:szCs w:val="21"/>
              </w:rPr>
            </w:pPr>
          </w:p>
        </w:tc>
        <w:tc>
          <w:tcPr>
            <w:tcW w:w="3847" w:type="dxa"/>
            <w:vMerge w:val="continue"/>
            <w:vAlign w:val="center"/>
          </w:tcPr>
          <w:p>
            <w:pPr>
              <w:spacing w:line="240" w:lineRule="auto"/>
              <w:ind w:firstLine="0"/>
              <w:jc w:val="center"/>
              <w:rPr>
                <w:rFonts w:ascii="宋体" w:hAnsi="宋体" w:eastAsia="宋体"/>
                <w:b/>
                <w:bCs/>
                <w:sz w:val="21"/>
                <w:szCs w:val="21"/>
              </w:rPr>
            </w:pPr>
          </w:p>
        </w:tc>
        <w:tc>
          <w:tcPr>
            <w:tcW w:w="111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一般</w:t>
            </w:r>
          </w:p>
          <w:p>
            <w:pPr>
              <w:spacing w:line="240" w:lineRule="auto"/>
              <w:ind w:firstLine="0"/>
              <w:jc w:val="center"/>
              <w:rPr>
                <w:rFonts w:ascii="宋体" w:hAnsi="宋体" w:eastAsia="宋体"/>
                <w:b/>
                <w:bCs/>
                <w:sz w:val="21"/>
                <w:szCs w:val="21"/>
              </w:rPr>
            </w:pPr>
            <w:r>
              <w:rPr>
                <w:rFonts w:ascii="宋体" w:hAnsi="宋体" w:eastAsia="宋体"/>
                <w:b/>
                <w:bCs/>
                <w:sz w:val="21"/>
                <w:szCs w:val="21"/>
              </w:rPr>
              <w:t>情形</w:t>
            </w:r>
          </w:p>
        </w:tc>
        <w:tc>
          <w:tcPr>
            <w:tcW w:w="1042"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情节</w:t>
            </w:r>
          </w:p>
          <w:p>
            <w:pPr>
              <w:spacing w:line="240" w:lineRule="auto"/>
              <w:ind w:firstLine="0"/>
              <w:jc w:val="center"/>
              <w:rPr>
                <w:rFonts w:ascii="宋体" w:hAnsi="宋体" w:eastAsia="宋体"/>
                <w:b/>
                <w:bCs/>
                <w:sz w:val="21"/>
                <w:szCs w:val="21"/>
              </w:rPr>
            </w:pPr>
            <w:r>
              <w:rPr>
                <w:rFonts w:ascii="宋体" w:hAnsi="宋体" w:eastAsia="宋体"/>
                <w:b/>
                <w:bCs/>
                <w:sz w:val="21"/>
                <w:szCs w:val="21"/>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817"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20%</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05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污染地下水方量</w:t>
            </w: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不足400立方米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400立方米以上不足1000立方米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6%</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1000立方米以上不足5000立方米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13%</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5000立方米以上</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24%</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05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污染土壤方量</w:t>
            </w: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不足400立方米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400立方米以上不足1000立方米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6%</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1000立方米以上不足5000立方米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9%</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5000立方米以上不足10000立方米</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13%</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10000立方米以上</w:t>
            </w:r>
          </w:p>
        </w:tc>
        <w:tc>
          <w:tcPr>
            <w:tcW w:w="111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23%</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05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责任主体</w:t>
            </w: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rPr>
              <w:t>非土壤污染重点监管单位</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b/>
                <w:bCs/>
                <w:sz w:val="21"/>
                <w:szCs w:val="21"/>
              </w:rPr>
            </w:pPr>
            <w:r>
              <w:rPr>
                <w:rFonts w:ascii="宋体" w:hAnsi="宋体" w:eastAsia="宋体"/>
                <w:sz w:val="21"/>
                <w:szCs w:val="21"/>
              </w:rPr>
              <w:t>土壤污染重点监管单位</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042"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05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农用地类型</w:t>
            </w: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rPr>
              <w:t>严格管控类</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0%</w:t>
            </w:r>
          </w:p>
        </w:tc>
        <w:tc>
          <w:tcPr>
            <w:tcW w:w="104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rPr>
              <w:t>安全利用类</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5%</w:t>
            </w:r>
          </w:p>
        </w:tc>
        <w:tc>
          <w:tcPr>
            <w:tcW w:w="104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rPr>
            </w:pPr>
            <w:r>
              <w:rPr>
                <w:rFonts w:ascii="宋体" w:hAnsi="宋体" w:eastAsia="宋体"/>
                <w:sz w:val="21"/>
                <w:szCs w:val="21"/>
              </w:rPr>
              <w:t>优先保护类</w:t>
            </w:r>
          </w:p>
        </w:tc>
        <w:tc>
          <w:tcPr>
            <w:tcW w:w="1110"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14%</w:t>
            </w:r>
          </w:p>
        </w:tc>
        <w:tc>
          <w:tcPr>
            <w:tcW w:w="1042"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05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环境违法次数</w:t>
            </w:r>
          </w:p>
          <w:p>
            <w:pPr>
              <w:spacing w:line="240" w:lineRule="auto"/>
              <w:ind w:firstLine="0"/>
              <w:jc w:val="center"/>
              <w:rPr>
                <w:rFonts w:ascii="宋体" w:hAnsi="宋体" w:eastAsia="宋体"/>
                <w:sz w:val="21"/>
                <w:szCs w:val="21"/>
              </w:rPr>
            </w:pPr>
            <w:r>
              <w:rPr>
                <w:rFonts w:ascii="宋体" w:hAnsi="宋体" w:eastAsia="宋体"/>
                <w:sz w:val="21"/>
                <w:szCs w:val="21"/>
                <w:lang w:bidi="ar"/>
              </w:rPr>
              <w:t>（两年内，含本次）</w:t>
            </w:r>
          </w:p>
        </w:tc>
        <w:tc>
          <w:tcPr>
            <w:tcW w:w="3847"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1次</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0%</w:t>
            </w:r>
          </w:p>
        </w:tc>
        <w:tc>
          <w:tcPr>
            <w:tcW w:w="104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2次</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2</w:t>
            </w:r>
            <w:r>
              <w:rPr>
                <w:rFonts w:ascii="宋体" w:hAnsi="宋体" w:eastAsia="宋体"/>
                <w:color w:val="000000"/>
                <w:sz w:val="21"/>
                <w:szCs w:val="21"/>
                <w:lang w:bidi="ar"/>
              </w:rPr>
              <w:t>%</w:t>
            </w:r>
          </w:p>
        </w:tc>
        <w:tc>
          <w:tcPr>
            <w:tcW w:w="1042" w:type="dxa"/>
            <w:vAlign w:val="center"/>
          </w:tcPr>
          <w:p>
            <w:pPr>
              <w:spacing w:line="240" w:lineRule="auto"/>
              <w:ind w:firstLine="0"/>
              <w:jc w:val="center"/>
              <w:rPr>
                <w:rFonts w:ascii="宋体" w:hAnsi="宋体" w:eastAsia="宋体"/>
                <w:sz w:val="21"/>
                <w:szCs w:val="21"/>
                <w:lang w:bidi="ar"/>
              </w:rPr>
            </w:pPr>
            <w:r>
              <w:rPr>
                <w:rFonts w:ascii="宋体" w:hAnsi="宋体" w:eastAsia="宋体"/>
                <w:color w:val="000000"/>
                <w:sz w:val="21"/>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sz w:val="21"/>
                <w:szCs w:val="21"/>
                <w:lang w:bidi="ar"/>
              </w:rPr>
            </w:pPr>
            <w:r>
              <w:rPr>
                <w:rFonts w:ascii="宋体" w:hAnsi="宋体" w:eastAsia="宋体"/>
                <w:color w:val="000000"/>
                <w:sz w:val="21"/>
                <w:szCs w:val="21"/>
                <w:lang w:bidi="ar"/>
              </w:rPr>
              <w:t>3次</w:t>
            </w:r>
          </w:p>
        </w:tc>
        <w:tc>
          <w:tcPr>
            <w:tcW w:w="111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sz w:val="21"/>
                <w:szCs w:val="21"/>
                <w:lang w:bidi="ar"/>
              </w:rPr>
              <w:t>5</w:t>
            </w:r>
            <w:r>
              <w:rPr>
                <w:rFonts w:ascii="宋体" w:hAnsi="宋体" w:eastAsia="宋体"/>
                <w:color w:val="000000"/>
                <w:sz w:val="21"/>
                <w:szCs w:val="21"/>
                <w:lang w:bidi="ar"/>
              </w:rPr>
              <w:t>%</w:t>
            </w:r>
          </w:p>
        </w:tc>
        <w:tc>
          <w:tcPr>
            <w:tcW w:w="1042" w:type="dxa"/>
            <w:vAlign w:val="center"/>
          </w:tcPr>
          <w:p>
            <w:pPr>
              <w:spacing w:line="240" w:lineRule="auto"/>
              <w:ind w:firstLine="0"/>
              <w:jc w:val="center"/>
              <w:rPr>
                <w:rFonts w:ascii="宋体" w:hAnsi="宋体" w:eastAsia="宋体"/>
                <w:sz w:val="21"/>
                <w:szCs w:val="21"/>
                <w:lang w:bidi="ar"/>
              </w:rPr>
            </w:pPr>
            <w:r>
              <w:rPr>
                <w:rFonts w:ascii="宋体" w:hAnsi="宋体" w:eastAsia="宋体"/>
                <w:color w:val="000000"/>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sz w:val="21"/>
                <w:szCs w:val="21"/>
              </w:rPr>
            </w:pPr>
          </w:p>
        </w:tc>
        <w:tc>
          <w:tcPr>
            <w:tcW w:w="2055" w:type="dxa"/>
            <w:vMerge w:val="continue"/>
            <w:vAlign w:val="center"/>
          </w:tcPr>
          <w:p>
            <w:pPr>
              <w:spacing w:line="240" w:lineRule="auto"/>
              <w:ind w:firstLine="0"/>
              <w:jc w:val="center"/>
              <w:rPr>
                <w:rFonts w:ascii="宋体" w:hAnsi="宋体" w:eastAsia="宋体"/>
                <w:sz w:val="21"/>
                <w:szCs w:val="21"/>
              </w:rPr>
            </w:pPr>
          </w:p>
        </w:tc>
        <w:tc>
          <w:tcPr>
            <w:tcW w:w="3847"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11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9%</w:t>
            </w:r>
          </w:p>
        </w:tc>
        <w:tc>
          <w:tcPr>
            <w:tcW w:w="1042"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6</w:t>
            </w:r>
          </w:p>
        </w:tc>
        <w:tc>
          <w:tcPr>
            <w:tcW w:w="2055"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38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0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5" w:type="dxa"/>
            <w:vMerge w:val="continue"/>
            <w:vAlign w:val="center"/>
          </w:tcPr>
          <w:p>
            <w:pPr>
              <w:spacing w:line="240" w:lineRule="auto"/>
              <w:ind w:firstLine="0"/>
              <w:jc w:val="center"/>
              <w:rPr>
                <w:rFonts w:ascii="宋体" w:hAnsi="宋体" w:eastAsia="宋体"/>
                <w:b/>
                <w:bCs/>
                <w:sz w:val="21"/>
                <w:szCs w:val="21"/>
              </w:rPr>
            </w:pPr>
          </w:p>
        </w:tc>
        <w:tc>
          <w:tcPr>
            <w:tcW w:w="2055" w:type="dxa"/>
            <w:vMerge w:val="continue"/>
            <w:vAlign w:val="center"/>
          </w:tcPr>
          <w:p>
            <w:pPr>
              <w:spacing w:line="240" w:lineRule="auto"/>
              <w:ind w:firstLine="0" w:firstLineChars="0"/>
              <w:jc w:val="center"/>
              <w:rPr>
                <w:rFonts w:ascii="宋体" w:hAnsi="宋体" w:eastAsia="宋体"/>
                <w:sz w:val="21"/>
                <w:szCs w:val="21"/>
              </w:rPr>
            </w:pPr>
          </w:p>
        </w:tc>
        <w:tc>
          <w:tcPr>
            <w:tcW w:w="384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1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c>
          <w:tcPr>
            <w:tcW w:w="104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土壤污染防治法》第八十七条规定“向农用地排放重金属或者其他有毒有害物质含量超标的污水、污泥，以及可能造成土壤污染的清淤底泥、尾矿、矿渣等的，由地方人民政府生态环境主管部门责令改正，处十万元以上五十万元以下的罚款；情节严重的，处五十万元以上二百万元以下的罚款，并可以将案件移送公安机关，对直接负责的主管人员和其他直接责任人员处五日以上十五日以下的拘留；有违法所得的，没收违法所得”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土壤污染重点监管单位是指列入本省发布的土壤污染重点监管单位名录的企业。</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hint="eastAsia" w:ascii="宋体" w:hAnsi="宋体" w:eastAsia="宋体"/>
          <w:sz w:val="21"/>
          <w:szCs w:val="21"/>
          <w:highlight w:val="none"/>
        </w:rPr>
        <w:t>、</w:t>
      </w:r>
      <w:r>
        <w:rPr>
          <w:rFonts w:ascii="宋体" w:hAnsi="宋体" w:eastAsia="宋体"/>
          <w:sz w:val="21"/>
          <w:szCs w:val="21"/>
          <w:highlight w:val="none"/>
        </w:rPr>
        <w:t>情节严重是指同时满足污染地下水方量在5000立方米以上和污染土壤方量在10000立方米以上的条件的。</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5、</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420" w:firstLineChars="200"/>
        <w:outlineLvl w:val="1"/>
        <w:rPr>
          <w:rFonts w:eastAsia="方正楷体_GBK"/>
          <w:b/>
          <w:szCs w:val="32"/>
        </w:rPr>
      </w:pPr>
      <w:r>
        <w:rPr>
          <w:rFonts w:ascii="宋体" w:hAnsi="宋体" w:eastAsia="宋体"/>
          <w:sz w:val="21"/>
          <w:szCs w:val="21"/>
        </w:rPr>
        <w:br w:type="page"/>
      </w:r>
      <w:bookmarkStart w:id="9" w:name="_Toc26295"/>
      <w:r>
        <w:rPr>
          <w:rFonts w:eastAsia="方正楷体_GBK"/>
          <w:b/>
          <w:szCs w:val="32"/>
        </w:rPr>
        <w:t>（十）违反辐射安全管理制度的行为</w:t>
      </w:r>
      <w:bookmarkEnd w:id="9"/>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表10 无辐射安全许可证或不按照许可证规定从事生产、销售、使用放射性同位素和射线装置的裁量标准</w:t>
      </w:r>
    </w:p>
    <w:tbl>
      <w:tblPr>
        <w:tblStyle w:val="9"/>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982"/>
        <w:gridCol w:w="3283"/>
        <w:gridCol w:w="13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0"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1982"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3283"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2820"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0" w:type="dxa"/>
            <w:vMerge w:val="continue"/>
            <w:vAlign w:val="center"/>
          </w:tcPr>
          <w:p>
            <w:pPr>
              <w:spacing w:line="240" w:lineRule="auto"/>
              <w:ind w:firstLine="0"/>
              <w:jc w:val="center"/>
              <w:rPr>
                <w:rFonts w:ascii="宋体" w:hAnsi="宋体" w:eastAsia="宋体"/>
                <w:b/>
                <w:bCs/>
                <w:sz w:val="21"/>
                <w:szCs w:val="21"/>
              </w:rPr>
            </w:pPr>
          </w:p>
        </w:tc>
        <w:tc>
          <w:tcPr>
            <w:tcW w:w="1982" w:type="dxa"/>
            <w:vMerge w:val="continue"/>
            <w:vAlign w:val="center"/>
          </w:tcPr>
          <w:p>
            <w:pPr>
              <w:spacing w:line="240" w:lineRule="auto"/>
              <w:ind w:firstLine="0"/>
              <w:jc w:val="center"/>
              <w:rPr>
                <w:rFonts w:ascii="宋体" w:hAnsi="宋体" w:eastAsia="宋体"/>
                <w:b/>
                <w:bCs/>
                <w:sz w:val="21"/>
                <w:szCs w:val="21"/>
              </w:rPr>
            </w:pPr>
          </w:p>
        </w:tc>
        <w:tc>
          <w:tcPr>
            <w:tcW w:w="3283" w:type="dxa"/>
            <w:vMerge w:val="continue"/>
            <w:vAlign w:val="center"/>
          </w:tcPr>
          <w:p>
            <w:pPr>
              <w:spacing w:line="240" w:lineRule="auto"/>
              <w:ind w:firstLine="0"/>
              <w:jc w:val="center"/>
              <w:rPr>
                <w:rFonts w:ascii="宋体" w:hAnsi="宋体" w:eastAsia="宋体"/>
                <w:b/>
                <w:bCs/>
                <w:sz w:val="21"/>
                <w:szCs w:val="21"/>
              </w:rPr>
            </w:pPr>
          </w:p>
        </w:tc>
        <w:tc>
          <w:tcPr>
            <w:tcW w:w="138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没有违法所得或者违法所得不足10万元的</w:t>
            </w:r>
          </w:p>
        </w:tc>
        <w:tc>
          <w:tcPr>
            <w:tcW w:w="144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违法所得10万元以上的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35"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198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种类和范围</w:t>
            </w:r>
          </w:p>
        </w:tc>
        <w:tc>
          <w:tcPr>
            <w:tcW w:w="3283"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Ⅲ</w:t>
            </w:r>
            <w:r>
              <w:rPr>
                <w:rFonts w:ascii="宋体" w:hAnsi="宋体" w:eastAsia="宋体"/>
                <w:sz w:val="21"/>
                <w:szCs w:val="21"/>
              </w:rPr>
              <w:t>类射线装置</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Ⅳ</w:t>
            </w:r>
            <w:r>
              <w:rPr>
                <w:rFonts w:ascii="宋体" w:hAnsi="宋体" w:eastAsia="宋体"/>
                <w:sz w:val="21"/>
                <w:szCs w:val="21"/>
              </w:rPr>
              <w:t>类、</w:t>
            </w:r>
            <w:r>
              <w:rPr>
                <w:rFonts w:hint="eastAsia" w:ascii="宋体" w:hAnsi="宋体" w:eastAsia="宋体" w:cs="宋体"/>
                <w:sz w:val="21"/>
                <w:szCs w:val="21"/>
              </w:rPr>
              <w:t>Ⅴ</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丙级非密封放射性物质工作场所</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Ⅲ</w:t>
            </w:r>
            <w:r>
              <w:rPr>
                <w:rFonts w:ascii="宋体" w:hAnsi="宋体" w:eastAsia="宋体"/>
                <w:sz w:val="21"/>
                <w:szCs w:val="21"/>
              </w:rPr>
              <w:t>类放射源或</w:t>
            </w:r>
            <w:r>
              <w:rPr>
                <w:rFonts w:hint="eastAsia" w:ascii="宋体" w:hAnsi="宋体" w:eastAsia="宋体" w:cs="宋体"/>
                <w:sz w:val="21"/>
                <w:szCs w:val="21"/>
              </w:rPr>
              <w:t>Ⅱ</w:t>
            </w:r>
            <w:r>
              <w:rPr>
                <w:rFonts w:ascii="宋体" w:hAnsi="宋体" w:eastAsia="宋体"/>
                <w:sz w:val="21"/>
                <w:szCs w:val="21"/>
              </w:rPr>
              <w:t>类射线装置乙级非密封放射性物质工作场所</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hint="eastAsia" w:ascii="宋体" w:hAnsi="宋体" w:eastAsia="宋体" w:cs="宋体"/>
                <w:sz w:val="21"/>
                <w:szCs w:val="21"/>
              </w:rPr>
              <w:t>Ⅰ</w:t>
            </w:r>
            <w:r>
              <w:rPr>
                <w:rFonts w:ascii="宋体" w:hAnsi="宋体" w:eastAsia="宋体"/>
                <w:sz w:val="21"/>
                <w:szCs w:val="21"/>
              </w:rPr>
              <w:t>类、</w:t>
            </w:r>
            <w:r>
              <w:rPr>
                <w:rFonts w:hint="eastAsia" w:ascii="宋体" w:hAnsi="宋体" w:eastAsia="宋体" w:cs="宋体"/>
                <w:sz w:val="21"/>
                <w:szCs w:val="21"/>
              </w:rPr>
              <w:t>Ⅱ</w:t>
            </w:r>
            <w:r>
              <w:rPr>
                <w:rFonts w:ascii="宋体" w:hAnsi="宋体" w:eastAsia="宋体"/>
                <w:sz w:val="21"/>
                <w:szCs w:val="21"/>
              </w:rPr>
              <w:t>类放射源或</w:t>
            </w:r>
            <w:r>
              <w:rPr>
                <w:rFonts w:hint="eastAsia" w:ascii="宋体" w:hAnsi="宋体" w:eastAsia="宋体" w:cs="宋体"/>
                <w:sz w:val="21"/>
                <w:szCs w:val="21"/>
              </w:rPr>
              <w:t>Ⅰ</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甲级非密封放射性物质工作场所</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22%</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7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198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放射源和射线装置数量、非密封放射性物质工作场所</w:t>
            </w: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2台以下</w:t>
            </w:r>
            <w:r>
              <w:rPr>
                <w:rFonts w:hint="eastAsia" w:ascii="宋体" w:hAnsi="宋体" w:eastAsia="宋体" w:cs="宋体"/>
                <w:sz w:val="21"/>
                <w:szCs w:val="21"/>
              </w:rPr>
              <w:t>Ⅲ</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1台</w:t>
            </w:r>
            <w:r>
              <w:rPr>
                <w:rFonts w:hint="eastAsia" w:ascii="宋体" w:hAnsi="宋体" w:eastAsia="宋体" w:cs="宋体"/>
                <w:sz w:val="21"/>
                <w:szCs w:val="21"/>
              </w:rPr>
              <w:t>Ⅱ</w:t>
            </w:r>
            <w:r>
              <w:rPr>
                <w:rFonts w:ascii="宋体" w:hAnsi="宋体" w:eastAsia="宋体"/>
                <w:sz w:val="21"/>
                <w:szCs w:val="21"/>
              </w:rPr>
              <w:t>类射线装置</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2枚以下</w:t>
            </w:r>
            <w:r>
              <w:rPr>
                <w:rFonts w:hint="eastAsia" w:ascii="宋体" w:hAnsi="宋体" w:eastAsia="宋体" w:cs="宋体"/>
                <w:sz w:val="21"/>
                <w:szCs w:val="21"/>
              </w:rPr>
              <w:t>Ⅳ</w:t>
            </w:r>
            <w:r>
              <w:rPr>
                <w:rFonts w:ascii="宋体" w:hAnsi="宋体" w:eastAsia="宋体"/>
                <w:sz w:val="21"/>
                <w:szCs w:val="21"/>
              </w:rPr>
              <w:t>类、</w:t>
            </w:r>
            <w:r>
              <w:rPr>
                <w:rFonts w:hint="eastAsia" w:ascii="宋体" w:hAnsi="宋体" w:eastAsia="宋体" w:cs="宋体"/>
                <w:sz w:val="21"/>
                <w:szCs w:val="21"/>
              </w:rPr>
              <w:t>Ⅴ</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1枚</w:t>
            </w:r>
            <w:r>
              <w:rPr>
                <w:rFonts w:hint="eastAsia" w:ascii="宋体" w:hAnsi="宋体" w:eastAsia="宋体" w:cs="宋体"/>
                <w:sz w:val="21"/>
                <w:szCs w:val="21"/>
              </w:rPr>
              <w:t>Ⅲ</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2台以上7台以下</w:t>
            </w:r>
            <w:r>
              <w:rPr>
                <w:rFonts w:hint="eastAsia" w:ascii="宋体" w:hAnsi="宋体" w:eastAsia="宋体" w:cs="宋体"/>
                <w:sz w:val="21"/>
                <w:szCs w:val="21"/>
              </w:rPr>
              <w:t>Ⅲ</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3台以下</w:t>
            </w:r>
            <w:r>
              <w:rPr>
                <w:rFonts w:hint="eastAsia" w:ascii="宋体" w:hAnsi="宋体" w:eastAsia="宋体" w:cs="宋体"/>
                <w:sz w:val="21"/>
                <w:szCs w:val="21"/>
              </w:rPr>
              <w:t>Ⅱ</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丙级非密封放射性物质工作场所</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3枚以上5枚以下</w:t>
            </w:r>
            <w:r>
              <w:rPr>
                <w:rFonts w:hint="eastAsia" w:ascii="宋体" w:hAnsi="宋体" w:eastAsia="宋体" w:cs="宋体"/>
                <w:sz w:val="21"/>
                <w:szCs w:val="21"/>
              </w:rPr>
              <w:t>Ⅳ</w:t>
            </w:r>
            <w:r>
              <w:rPr>
                <w:rFonts w:ascii="宋体" w:hAnsi="宋体" w:eastAsia="宋体"/>
                <w:sz w:val="21"/>
                <w:szCs w:val="21"/>
              </w:rPr>
              <w:t>类、</w:t>
            </w:r>
            <w:r>
              <w:rPr>
                <w:rFonts w:hint="eastAsia" w:ascii="宋体" w:hAnsi="宋体" w:eastAsia="宋体" w:cs="宋体"/>
                <w:sz w:val="21"/>
                <w:szCs w:val="21"/>
              </w:rPr>
              <w:t>Ⅴ</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2枚以上4枚以下</w:t>
            </w:r>
            <w:r>
              <w:rPr>
                <w:rFonts w:hint="eastAsia" w:ascii="宋体" w:hAnsi="宋体" w:eastAsia="宋体" w:cs="宋体"/>
                <w:sz w:val="21"/>
                <w:szCs w:val="21"/>
              </w:rPr>
              <w:t>Ⅲ</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7台以上10台以下</w:t>
            </w:r>
            <w:r>
              <w:rPr>
                <w:rFonts w:hint="eastAsia" w:ascii="宋体" w:hAnsi="宋体" w:eastAsia="宋体" w:cs="宋体"/>
                <w:sz w:val="21"/>
                <w:szCs w:val="21"/>
              </w:rPr>
              <w:t>Ⅲ</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3台以上5台以下</w:t>
            </w:r>
            <w:r>
              <w:rPr>
                <w:rFonts w:hint="eastAsia" w:ascii="宋体" w:hAnsi="宋体" w:eastAsia="宋体" w:cs="宋体"/>
                <w:sz w:val="21"/>
                <w:szCs w:val="21"/>
              </w:rPr>
              <w:t>Ⅱ</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乙级非密封放射性物质工作场所</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5枚以上</w:t>
            </w:r>
            <w:r>
              <w:rPr>
                <w:rFonts w:hint="eastAsia" w:ascii="宋体" w:hAnsi="宋体" w:eastAsia="宋体" w:cs="宋体"/>
                <w:sz w:val="21"/>
                <w:szCs w:val="21"/>
              </w:rPr>
              <w:t>Ⅳ</w:t>
            </w:r>
            <w:r>
              <w:rPr>
                <w:rFonts w:ascii="宋体" w:hAnsi="宋体" w:eastAsia="宋体"/>
                <w:sz w:val="21"/>
                <w:szCs w:val="21"/>
              </w:rPr>
              <w:t>类、</w:t>
            </w:r>
            <w:r>
              <w:rPr>
                <w:rFonts w:hint="eastAsia" w:ascii="宋体" w:hAnsi="宋体" w:eastAsia="宋体" w:cs="宋体"/>
                <w:sz w:val="21"/>
                <w:szCs w:val="21"/>
              </w:rPr>
              <w:t>Ⅴ</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4枚以上</w:t>
            </w:r>
            <w:r>
              <w:rPr>
                <w:rFonts w:hint="eastAsia" w:ascii="宋体" w:hAnsi="宋体" w:eastAsia="宋体" w:cs="宋体"/>
                <w:sz w:val="21"/>
                <w:szCs w:val="21"/>
              </w:rPr>
              <w:t>Ⅲ</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10台以上</w:t>
            </w:r>
            <w:r>
              <w:rPr>
                <w:rFonts w:hint="eastAsia" w:ascii="宋体" w:hAnsi="宋体" w:eastAsia="宋体" w:cs="宋体"/>
                <w:sz w:val="21"/>
                <w:szCs w:val="21"/>
              </w:rPr>
              <w:t>Ⅲ</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5台以上</w:t>
            </w:r>
            <w:r>
              <w:rPr>
                <w:rFonts w:hint="eastAsia" w:ascii="宋体" w:hAnsi="宋体" w:eastAsia="宋体" w:cs="宋体"/>
                <w:sz w:val="21"/>
                <w:szCs w:val="21"/>
              </w:rPr>
              <w:t>Ⅱ</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1枚以上</w:t>
            </w:r>
            <w:r>
              <w:rPr>
                <w:rFonts w:hint="eastAsia" w:ascii="宋体" w:hAnsi="宋体" w:eastAsia="宋体" w:cs="宋体"/>
                <w:sz w:val="21"/>
                <w:szCs w:val="21"/>
              </w:rPr>
              <w:t>Ⅰ</w:t>
            </w:r>
            <w:r>
              <w:rPr>
                <w:rFonts w:ascii="宋体" w:hAnsi="宋体" w:eastAsia="宋体"/>
                <w:sz w:val="21"/>
                <w:szCs w:val="21"/>
              </w:rPr>
              <w:t>类、</w:t>
            </w:r>
            <w:r>
              <w:rPr>
                <w:rFonts w:hint="eastAsia" w:ascii="宋体" w:hAnsi="宋体" w:eastAsia="宋体" w:cs="宋体"/>
                <w:sz w:val="21"/>
                <w:szCs w:val="21"/>
              </w:rPr>
              <w:t>Ⅱ</w:t>
            </w:r>
            <w:r>
              <w:rPr>
                <w:rFonts w:ascii="宋体" w:hAnsi="宋体" w:eastAsia="宋体"/>
                <w:sz w:val="21"/>
                <w:szCs w:val="21"/>
              </w:rPr>
              <w:t>类放射源</w:t>
            </w:r>
          </w:p>
          <w:p>
            <w:pPr>
              <w:spacing w:line="240" w:lineRule="auto"/>
              <w:ind w:firstLine="0"/>
              <w:rPr>
                <w:rFonts w:ascii="宋体" w:hAnsi="宋体" w:eastAsia="宋体"/>
                <w:sz w:val="21"/>
                <w:szCs w:val="21"/>
              </w:rPr>
            </w:pPr>
            <w:r>
              <w:rPr>
                <w:rFonts w:ascii="宋体" w:hAnsi="宋体" w:eastAsia="宋体"/>
                <w:sz w:val="21"/>
                <w:szCs w:val="21"/>
              </w:rPr>
              <w:t>1台以上</w:t>
            </w:r>
            <w:r>
              <w:rPr>
                <w:rFonts w:hint="eastAsia" w:ascii="宋体" w:hAnsi="宋体" w:eastAsia="宋体" w:cs="宋体"/>
                <w:sz w:val="21"/>
                <w:szCs w:val="21"/>
              </w:rPr>
              <w:t>Ⅰ</w:t>
            </w:r>
            <w:r>
              <w:rPr>
                <w:rFonts w:ascii="宋体" w:hAnsi="宋体" w:eastAsia="宋体"/>
                <w:sz w:val="21"/>
                <w:szCs w:val="21"/>
              </w:rPr>
              <w:t>类射线装置</w:t>
            </w:r>
          </w:p>
          <w:p>
            <w:pPr>
              <w:spacing w:line="240" w:lineRule="auto"/>
              <w:ind w:firstLine="0"/>
              <w:rPr>
                <w:rFonts w:ascii="宋体" w:hAnsi="宋体" w:eastAsia="宋体"/>
                <w:sz w:val="21"/>
                <w:szCs w:val="21"/>
              </w:rPr>
            </w:pPr>
            <w:r>
              <w:rPr>
                <w:rFonts w:ascii="宋体" w:hAnsi="宋体" w:eastAsia="宋体"/>
                <w:sz w:val="21"/>
                <w:szCs w:val="21"/>
              </w:rPr>
              <w:t>甲级非密封放射性物质工作场所</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23%</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198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w:t>
            </w:r>
          </w:p>
          <w:p>
            <w:pPr>
              <w:spacing w:line="240" w:lineRule="auto"/>
              <w:ind w:firstLine="0"/>
              <w:jc w:val="center"/>
              <w:rPr>
                <w:rFonts w:ascii="宋体" w:hAnsi="宋体" w:eastAsia="宋体"/>
                <w:sz w:val="21"/>
                <w:szCs w:val="21"/>
              </w:rPr>
            </w:pPr>
            <w:r>
              <w:rPr>
                <w:rFonts w:ascii="宋体" w:hAnsi="宋体" w:eastAsia="宋体"/>
                <w:sz w:val="21"/>
                <w:szCs w:val="21"/>
              </w:rPr>
              <w:t>时间</w:t>
            </w: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不足1个月</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1个月以上不足3个月</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3个月以上不足6个月</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7%</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6个月以上</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15%</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198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工作场所的安全防护措施情况</w:t>
            </w: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措施完备</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有措施但不完备</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6%</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sz w:val="21"/>
                <w:szCs w:val="21"/>
              </w:rPr>
              <w:t>无防护措施</w:t>
            </w:r>
          </w:p>
        </w:tc>
        <w:tc>
          <w:tcPr>
            <w:tcW w:w="138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14%</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198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3283"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38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b/>
                <w:bCs/>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38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3</w:t>
            </w:r>
            <w:r>
              <w:rPr>
                <w:rFonts w:ascii="宋体" w:hAnsi="宋体" w:eastAsia="宋体"/>
                <w:color w:val="000000"/>
                <w:sz w:val="21"/>
                <w:szCs w:val="21"/>
                <w:lang w:bidi="ar"/>
              </w:rPr>
              <w:t>%</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b/>
                <w:bCs/>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38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6%</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b/>
                <w:bCs/>
                <w:sz w:val="21"/>
                <w:szCs w:val="21"/>
              </w:rPr>
            </w:pPr>
          </w:p>
        </w:tc>
        <w:tc>
          <w:tcPr>
            <w:tcW w:w="1982" w:type="dxa"/>
            <w:vMerge w:val="continue"/>
            <w:vAlign w:val="center"/>
          </w:tcPr>
          <w:p>
            <w:pPr>
              <w:spacing w:line="240" w:lineRule="auto"/>
              <w:ind w:firstLine="0"/>
              <w:jc w:val="center"/>
              <w:rPr>
                <w:rFonts w:ascii="宋体" w:hAnsi="宋体" w:eastAsia="宋体"/>
                <w:sz w:val="21"/>
                <w:szCs w:val="21"/>
              </w:rPr>
            </w:pPr>
          </w:p>
        </w:tc>
        <w:tc>
          <w:tcPr>
            <w:tcW w:w="3283"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38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11%</w:t>
            </w:r>
          </w:p>
        </w:tc>
        <w:tc>
          <w:tcPr>
            <w:tcW w:w="144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6</w:t>
            </w:r>
          </w:p>
        </w:tc>
        <w:tc>
          <w:tcPr>
            <w:tcW w:w="1982"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3283" w:type="dxa"/>
            <w:vAlign w:val="center"/>
          </w:tcPr>
          <w:p>
            <w:pPr>
              <w:spacing w:line="240" w:lineRule="auto"/>
              <w:ind w:firstLine="0" w:firstLineChars="0"/>
              <w:rPr>
                <w:rFonts w:ascii="宋体" w:hAnsi="宋体" w:eastAsia="宋体"/>
                <w:sz w:val="21"/>
                <w:szCs w:val="21"/>
              </w:rPr>
            </w:pPr>
            <w:r>
              <w:rPr>
                <w:rFonts w:ascii="宋体" w:hAnsi="宋体" w:eastAsia="宋体"/>
                <w:color w:val="000000"/>
                <w:sz w:val="21"/>
                <w:szCs w:val="21"/>
                <w:lang w:bidi="ar"/>
              </w:rPr>
              <w:t>无</w:t>
            </w:r>
          </w:p>
        </w:tc>
        <w:tc>
          <w:tcPr>
            <w:tcW w:w="138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70" w:type="dxa"/>
            <w:vMerge w:val="continue"/>
            <w:vAlign w:val="center"/>
          </w:tcPr>
          <w:p>
            <w:pPr>
              <w:spacing w:line="240" w:lineRule="auto"/>
              <w:ind w:firstLine="0"/>
              <w:jc w:val="center"/>
              <w:rPr>
                <w:rFonts w:ascii="宋体" w:hAnsi="宋体" w:eastAsia="宋体"/>
                <w:b/>
                <w:bCs/>
                <w:sz w:val="21"/>
                <w:szCs w:val="21"/>
              </w:rPr>
            </w:pPr>
          </w:p>
        </w:tc>
        <w:tc>
          <w:tcPr>
            <w:tcW w:w="1982" w:type="dxa"/>
            <w:vMerge w:val="continue"/>
            <w:vAlign w:val="center"/>
          </w:tcPr>
          <w:p>
            <w:pPr>
              <w:spacing w:line="240" w:lineRule="auto"/>
              <w:ind w:firstLine="0" w:firstLineChars="0"/>
              <w:jc w:val="center"/>
              <w:rPr>
                <w:rFonts w:ascii="宋体" w:hAnsi="宋体" w:eastAsia="宋体"/>
                <w:sz w:val="21"/>
                <w:szCs w:val="21"/>
              </w:rPr>
            </w:pPr>
          </w:p>
        </w:tc>
        <w:tc>
          <w:tcPr>
            <w:tcW w:w="3283" w:type="dxa"/>
            <w:vAlign w:val="center"/>
          </w:tcPr>
          <w:p>
            <w:pPr>
              <w:spacing w:line="240" w:lineRule="auto"/>
              <w:ind w:firstLine="0" w:firstLineChars="0"/>
              <w:rPr>
                <w:rFonts w:hint="eastAsia" w:ascii="宋体" w:hAnsi="宋体" w:eastAsia="宋体"/>
                <w:sz w:val="21"/>
                <w:szCs w:val="21"/>
                <w:lang w:eastAsia="zh-CN"/>
              </w:rPr>
            </w:pPr>
            <w:r>
              <w:rPr>
                <w:rFonts w:ascii="宋体" w:hAnsi="宋体" w:eastAsia="宋体"/>
                <w:color w:val="000000"/>
                <w:sz w:val="21"/>
                <w:szCs w:val="21"/>
                <w:lang w:bidi="ar"/>
              </w:rPr>
              <w:t>有投诉且经核实</w:t>
            </w:r>
          </w:p>
        </w:tc>
        <w:tc>
          <w:tcPr>
            <w:tcW w:w="138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c>
          <w:tcPr>
            <w:tcW w:w="144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放射性同位素与射线装置安全和防护条例》第五十二条规定“违反本条例规定，生产、销售、使用放射性同位素和射线装置的单位有下列行为之一的，由县级以上人民政府生态环境主管部门责令停止违法行为，限期改正；逾期不改正的，责令停产停业或者由原发证机关吊销许可证；有违法所得的，没收违法所得；违法所得10万元以上的，并处违法所得1倍以上5倍以下的罚款；没有违法所得或者违法所得不足10万元的，并处1万元以上10万元以下的罚款：（一）无许可证从事放射性同位素和射线装置生产、销售、使用活动的；（二）未按照许可证的规定从事放射性同位素和射线装置生产、销售、使用活动的”情形。</w:t>
      </w:r>
    </w:p>
    <w:p>
      <w:pPr>
        <w:spacing w:line="240" w:lineRule="auto"/>
        <w:ind w:firstLine="420" w:firstLineChars="200"/>
        <w:rPr>
          <w:rFonts w:ascii="宋体" w:hAnsi="宋体" w:eastAsia="宋体"/>
          <w:sz w:val="21"/>
          <w:szCs w:val="21"/>
        </w:rPr>
      </w:pPr>
      <w:r>
        <w:rPr>
          <w:rFonts w:ascii="宋体" w:hAnsi="宋体" w:eastAsia="宋体"/>
          <w:sz w:val="21"/>
          <w:szCs w:val="21"/>
        </w:rPr>
        <w:t>2、违法所得10万元以上的，本表裁量的计算方法为：罚款金额＝违法所得×裁量百分值总和×5倍。</w:t>
      </w:r>
    </w:p>
    <w:p>
      <w:pPr>
        <w:spacing w:line="240" w:lineRule="auto"/>
        <w:ind w:firstLine="420" w:firstLineChars="200"/>
        <w:rPr>
          <w:rFonts w:ascii="宋体" w:hAnsi="宋体" w:eastAsia="宋体"/>
          <w:sz w:val="21"/>
          <w:szCs w:val="21"/>
        </w:rPr>
      </w:pPr>
      <w:r>
        <w:rPr>
          <w:rFonts w:ascii="宋体" w:hAnsi="宋体" w:eastAsia="宋体"/>
          <w:sz w:val="21"/>
          <w:szCs w:val="21"/>
        </w:rPr>
        <w:t>3、当存在不同类别的射线装置、放射源和非密封放射性物质工作场所时，选择裁量百分值较重的类别进行裁量。</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4、本表所称的“以上”“以下”包括本数，“不足”不包括本数。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6</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420" w:firstLineChars="200"/>
        <w:outlineLvl w:val="1"/>
        <w:rPr>
          <w:rFonts w:eastAsia="方正楷体_GBK"/>
          <w:b/>
          <w:szCs w:val="32"/>
        </w:rPr>
      </w:pPr>
      <w:r>
        <w:rPr>
          <w:rFonts w:ascii="宋体" w:hAnsi="宋体" w:eastAsia="宋体"/>
          <w:sz w:val="21"/>
          <w:szCs w:val="21"/>
        </w:rPr>
        <w:br w:type="page"/>
      </w:r>
      <w:bookmarkStart w:id="10" w:name="_Toc2500"/>
      <w:r>
        <w:rPr>
          <w:rFonts w:eastAsia="方正楷体_GBK"/>
          <w:b/>
          <w:szCs w:val="32"/>
          <w:lang w:bidi="ar"/>
        </w:rPr>
        <w:t>（十</w:t>
      </w:r>
      <w:r>
        <w:rPr>
          <w:rFonts w:hint="eastAsia" w:eastAsia="方正楷体_GBK"/>
          <w:b/>
          <w:szCs w:val="32"/>
          <w:lang w:val="en-US" w:eastAsia="zh-CN" w:bidi="ar"/>
        </w:rPr>
        <w:t>一</w:t>
      </w:r>
      <w:r>
        <w:rPr>
          <w:rFonts w:eastAsia="方正楷体_GBK"/>
          <w:b/>
          <w:szCs w:val="32"/>
          <w:lang w:bidi="ar"/>
        </w:rPr>
        <w:t>） 违反环境监测管理制度的行为</w:t>
      </w:r>
      <w:bookmarkEnd w:id="10"/>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表11 未按规定开展自行监测的裁量标准</w:t>
      </w:r>
    </w:p>
    <w:tbl>
      <w:tblPr>
        <w:tblStyle w:val="9"/>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383"/>
        <w:gridCol w:w="417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87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38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17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7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29"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575"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缺少的监测点位数量</w:t>
            </w: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1个</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2个</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3个以上</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缺少的监测指标数量(已开展监测的点位)</w:t>
            </w: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1个</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2个以上不足5个</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lang w:bidi="ar"/>
              </w:rPr>
              <w:t>5个以上</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383" w:type="dxa"/>
            <w:vMerge w:val="restart"/>
            <w:vAlign w:val="center"/>
          </w:tcPr>
          <w:p>
            <w:pPr>
              <w:spacing w:line="240" w:lineRule="auto"/>
              <w:ind w:firstLine="0"/>
              <w:jc w:val="center"/>
              <w:rPr>
                <w:rFonts w:hint="eastAsia" w:ascii="宋体" w:hAnsi="宋体" w:eastAsia="宋体"/>
                <w:sz w:val="21"/>
                <w:szCs w:val="21"/>
                <w:lang w:eastAsia="zh-CN"/>
              </w:rPr>
            </w:pPr>
            <w:r>
              <w:rPr>
                <w:rFonts w:ascii="宋体" w:hAnsi="宋体" w:eastAsia="宋体"/>
                <w:sz w:val="21"/>
                <w:szCs w:val="21"/>
              </w:rPr>
              <w:t>监测频次缺</w:t>
            </w:r>
            <w:r>
              <w:rPr>
                <w:rFonts w:hint="eastAsia" w:ascii="宋体" w:hAnsi="宋体" w:eastAsia="宋体"/>
                <w:sz w:val="21"/>
                <w:szCs w:val="21"/>
                <w:lang w:val="en-US" w:eastAsia="zh-CN"/>
              </w:rPr>
              <w:t>少</w:t>
            </w:r>
          </w:p>
        </w:tc>
        <w:tc>
          <w:tcPr>
            <w:tcW w:w="417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1次</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2</w:t>
            </w:r>
            <w:r>
              <w:rPr>
                <w:rFonts w:ascii="宋体" w:hAnsi="宋体" w:eastAsia="宋体"/>
                <w:sz w:val="21"/>
                <w:szCs w:val="21"/>
              </w:rPr>
              <w:t>次</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3次以上</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违法行为持续时间</w:t>
            </w: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不足1个月</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1个月以上不足3个月</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3个月以上不足6个月</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6个月以上</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17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75"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10%</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w:t>
      </w:r>
      <w:r>
        <w:rPr>
          <w:rFonts w:ascii="宋体" w:hAnsi="宋体" w:eastAsia="宋体"/>
          <w:sz w:val="21"/>
          <w:szCs w:val="21"/>
          <w:lang w:bidi="ar"/>
        </w:rPr>
        <w:t>中华人民共和国大气污染防治法》第一百条规定的“违反本法规定，有下列行为之一的，由县级以上人民政府生态环境主管部门责令改正，处二万元以上二十万元以下的罚款；拒不改正的，责令停产整治：（二）未按照规定对所排放的工业废气和有毒有害大气污染物进行监测并保存原始监测记录的”、</w:t>
      </w:r>
      <w:r>
        <w:rPr>
          <w:rFonts w:ascii="宋体" w:hAnsi="宋体" w:eastAsia="宋体"/>
          <w:sz w:val="21"/>
          <w:szCs w:val="21"/>
        </w:rPr>
        <w:t>《中华人民共和国水污染防治法》第八十二条规定的“违反本法规定，有下列行为之一的，由县级以上人民政府环境保护主管部门责令限期改正，处二万元以上二十万元以下的罚款；逾期不改正的，责令停产整治：（一）未按照规定对所排放的水污染物自行监测</w:t>
      </w:r>
      <w:r>
        <w:rPr>
          <w:rFonts w:hint="eastAsia" w:ascii="宋体" w:hAnsi="宋体" w:eastAsia="宋体"/>
          <w:sz w:val="21"/>
          <w:szCs w:val="21"/>
        </w:rPr>
        <w:t>，或者未保存原始监测记录的</w:t>
      </w:r>
      <w:r>
        <w:rPr>
          <w:rFonts w:ascii="宋体" w:hAnsi="宋体" w:eastAsia="宋体"/>
          <w:sz w:val="21"/>
          <w:szCs w:val="21"/>
        </w:rPr>
        <w:t>；（三）未按照规定对有毒有害水污染物的排污口和周边环境进行监测”、《中华人民共和国土壤污染防治法》第八十六条规定“违反本法规定，有下列行为之一的，由地方人民政府生态环境主管部门或者其他负有土壤污染防治监督管理职责的部门责令改正，处以罚款；拒不改正的，责令停产整治：（一）土壤污染重点监管单位未制定、实施自行监测方案的；有前款规定行为之一的，处二万元以上二十万元以下的罚款”。</w:t>
      </w:r>
      <w:r>
        <w:rPr>
          <w:rFonts w:hint="eastAsia" w:ascii="宋体" w:hAnsi="宋体" w:eastAsia="宋体"/>
          <w:sz w:val="21"/>
          <w:szCs w:val="21"/>
        </w:rPr>
        <w:t>《排污许可管理条例》第三十六条</w:t>
      </w:r>
      <w:r>
        <w:rPr>
          <w:rFonts w:hint="eastAsia" w:ascii="宋体" w:hAnsi="宋体" w:eastAsia="宋体"/>
          <w:sz w:val="21"/>
          <w:szCs w:val="21"/>
          <w:lang w:val="en-US" w:eastAsia="zh-CN"/>
        </w:rPr>
        <w:t>规定的“</w:t>
      </w:r>
      <w:r>
        <w:rPr>
          <w:rFonts w:hint="eastAsia" w:ascii="宋体" w:hAnsi="宋体" w:eastAsia="宋体"/>
          <w:sz w:val="21"/>
          <w:szCs w:val="21"/>
        </w:rPr>
        <w:t>违反本条例规定，排污单位有下列行为之一的，由生态环境主管部门责令改正，处2万元以上20万元以下的罚款；拒不改正的，责令停产整治：（五）未按照排污许可证规定制定自行监测方案并开展自行监测。</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监测点位按相关技术规范和管理要求确定。</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监测指标按相关污染物排放标准及管理要求确定。</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监测频次按《排污单位自行监测技术指南总则》及相关行业自行监测技术指南确定，监测次数缺</w:t>
      </w:r>
      <w:r>
        <w:rPr>
          <w:rFonts w:hint="eastAsia" w:ascii="宋体" w:hAnsi="宋体" w:eastAsia="宋体"/>
          <w:sz w:val="21"/>
          <w:szCs w:val="21"/>
          <w:lang w:val="en-US" w:eastAsia="zh-CN"/>
        </w:rPr>
        <w:t>少</w:t>
      </w:r>
      <w:r>
        <w:rPr>
          <w:rFonts w:ascii="宋体" w:hAnsi="宋体" w:eastAsia="宋体"/>
          <w:sz w:val="21"/>
          <w:szCs w:val="21"/>
        </w:rPr>
        <w:t>是指以发现违法行为之日（不包含本日）起向前追溯至当年1月1日缺</w:t>
      </w:r>
      <w:r>
        <w:rPr>
          <w:rFonts w:hint="eastAsia" w:ascii="宋体" w:hAnsi="宋体" w:eastAsia="宋体"/>
          <w:sz w:val="21"/>
          <w:szCs w:val="21"/>
          <w:lang w:val="en-US" w:eastAsia="zh-CN"/>
        </w:rPr>
        <w:t>少</w:t>
      </w:r>
      <w:r>
        <w:rPr>
          <w:rFonts w:ascii="宋体" w:hAnsi="宋体" w:eastAsia="宋体"/>
          <w:sz w:val="21"/>
          <w:szCs w:val="21"/>
        </w:rPr>
        <w:t>的应测未测的监测次数。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5、</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6、</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8</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r>
        <w:rPr>
          <w:rFonts w:ascii="宋体" w:hAnsi="宋体" w:eastAsia="宋体"/>
          <w:sz w:val="21"/>
          <w:szCs w:val="21"/>
        </w:rPr>
        <w:t xml:space="preserve"> </w:t>
      </w:r>
    </w:p>
    <w:p>
      <w:pPr>
        <w:spacing w:line="240" w:lineRule="auto"/>
        <w:ind w:firstLine="420" w:firstLineChars="200"/>
        <w:rPr>
          <w:rFonts w:ascii="宋体" w:hAnsi="宋体" w:eastAsia="宋体"/>
          <w:sz w:val="21"/>
          <w:szCs w:val="21"/>
        </w:rPr>
      </w:pPr>
    </w:p>
    <w:p>
      <w:pPr>
        <w:ind w:firstLine="420" w:firstLineChars="200"/>
        <w:outlineLvl w:val="1"/>
        <w:rPr>
          <w:rFonts w:eastAsia="方正楷体_GBK"/>
          <w:b/>
          <w:bCs/>
          <w:sz w:val="24"/>
          <w:szCs w:val="24"/>
        </w:rPr>
      </w:pPr>
      <w:r>
        <w:rPr>
          <w:rFonts w:ascii="宋体" w:hAnsi="宋体" w:eastAsia="宋体"/>
          <w:sz w:val="21"/>
          <w:szCs w:val="21"/>
        </w:rPr>
        <w:br w:type="page"/>
      </w:r>
      <w:bookmarkStart w:id="11" w:name="_Toc31233"/>
      <w:r>
        <w:rPr>
          <w:rFonts w:eastAsia="方正楷体_GBK"/>
          <w:b/>
          <w:szCs w:val="32"/>
        </w:rPr>
        <w:t>（十</w:t>
      </w:r>
      <w:r>
        <w:rPr>
          <w:rFonts w:hint="eastAsia" w:eastAsia="方正楷体_GBK"/>
          <w:b/>
          <w:szCs w:val="32"/>
          <w:lang w:val="en-US" w:eastAsia="zh-CN"/>
        </w:rPr>
        <w:t>二</w:t>
      </w:r>
      <w:r>
        <w:rPr>
          <w:rFonts w:eastAsia="方正楷体_GBK"/>
          <w:b/>
          <w:szCs w:val="32"/>
        </w:rPr>
        <w:t>）第三方机构及违法责任人员的违法行为</w:t>
      </w:r>
      <w:bookmarkEnd w:id="11"/>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表12-1 机动车排放检验机构伪造结果或出具虚假报告的裁量标准</w:t>
      </w:r>
    </w:p>
    <w:tbl>
      <w:tblPr>
        <w:tblStyle w:val="9"/>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383"/>
        <w:gridCol w:w="4175"/>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38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17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57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429"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575"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highlight w:val="none"/>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涉及的机动车、非道路移动机械数量</w:t>
            </w: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不足3台</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3台以上不足10台</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15</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10台以上</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30</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hint="eastAsia" w:ascii="宋体" w:hAnsi="宋体" w:eastAsia="宋体"/>
                <w:sz w:val="21"/>
                <w:szCs w:val="21"/>
                <w:lang w:eastAsia="zh-CN"/>
              </w:rPr>
            </w:pPr>
            <w:r>
              <w:rPr>
                <w:rFonts w:hint="eastAsia" w:ascii="宋体" w:hAnsi="宋体" w:eastAsia="宋体"/>
                <w:sz w:val="21"/>
                <w:szCs w:val="21"/>
                <w:lang w:val="en-US" w:eastAsia="zh-CN"/>
              </w:rPr>
              <w:t>2</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违法行为持续时间</w:t>
            </w: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不足1个月</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1个月以上不足3个月</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10</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3个月以上不足6个月</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15</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sz w:val="21"/>
                <w:szCs w:val="21"/>
              </w:rPr>
              <w:t>6个月以上</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25</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hint="eastAsia" w:ascii="宋体" w:hAnsi="宋体" w:eastAsia="宋体"/>
                <w:sz w:val="21"/>
                <w:szCs w:val="21"/>
                <w:lang w:eastAsia="zh-CN"/>
              </w:rPr>
            </w:pPr>
            <w:r>
              <w:rPr>
                <w:rFonts w:hint="eastAsia" w:ascii="宋体" w:hAnsi="宋体" w:eastAsia="宋体"/>
                <w:sz w:val="21"/>
                <w:szCs w:val="21"/>
                <w:lang w:val="en-US" w:eastAsia="zh-CN"/>
              </w:rPr>
              <w:t>3</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417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575"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15</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4175"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3次以上</w:t>
            </w:r>
          </w:p>
        </w:tc>
        <w:tc>
          <w:tcPr>
            <w:tcW w:w="1575"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25</w:t>
            </w:r>
            <w:r>
              <w:rPr>
                <w:rFonts w:ascii="宋体" w:hAnsi="宋体" w:eastAsia="宋体"/>
                <w:color w:val="000000"/>
                <w:sz w:val="21"/>
                <w:szCs w:val="21"/>
                <w:lang w:bidi="ar"/>
              </w:rPr>
              <w:t>%</w:t>
            </w:r>
          </w:p>
        </w:tc>
      </w:tr>
    </w:tbl>
    <w:p>
      <w:pPr>
        <w:spacing w:line="240" w:lineRule="auto"/>
        <w:ind w:firstLine="420" w:firstLineChars="200"/>
        <w:rPr>
          <w:rFonts w:hint="eastAsia" w:ascii="宋体" w:hAnsi="宋体" w:eastAsia="宋体"/>
          <w:sz w:val="21"/>
          <w:szCs w:val="21"/>
        </w:rPr>
      </w:pPr>
    </w:p>
    <w:p>
      <w:pPr>
        <w:spacing w:line="240" w:lineRule="auto"/>
        <w:ind w:firstLine="420" w:firstLineChars="200"/>
        <w:rPr>
          <w:rFonts w:ascii="宋体" w:hAnsi="宋体" w:eastAsia="宋体"/>
          <w:sz w:val="21"/>
          <w:szCs w:val="21"/>
        </w:rPr>
      </w:pPr>
      <w:r>
        <w:rPr>
          <w:rFonts w:ascii="宋体" w:hAnsi="宋体" w:eastAsia="宋体"/>
          <w:sz w:val="21"/>
          <w:szCs w:val="21"/>
        </w:rPr>
        <w:t>注：1、本表适用《中华人民共和国大气污染防治法》第一百一十二条规定的“伪造机动车、非道路移动机械排放检验结果或者出具虚假排放检验报告的，由县级以上人民政府生态环境主管部门没收违法所得，并处十万元以上五十万元以下的罚款；情节严重的，由负责资质认定的部门取消其检验资格”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情节严重是指涉及的机动车、非道路移动机械数量为10台以上的情形。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hint="default" w:ascii="宋体" w:hAnsi="宋体" w:eastAsia="宋体"/>
          <w:b w:val="0"/>
          <w:bCs w:val="0"/>
          <w:sz w:val="21"/>
          <w:szCs w:val="21"/>
          <w:lang w:val="en-US" w:eastAsia="zh-CN"/>
        </w:rPr>
      </w:pPr>
      <w:r>
        <w:rPr>
          <w:rFonts w:hint="eastAsia" w:ascii="宋体" w:hAnsi="宋体" w:eastAsia="宋体"/>
          <w:b w:val="0"/>
          <w:bCs w:val="0"/>
          <w:sz w:val="21"/>
          <w:szCs w:val="21"/>
          <w:lang w:val="en-US" w:eastAsia="zh-CN"/>
        </w:rPr>
        <w:t>4</w:t>
      </w:r>
      <w:r>
        <w:rPr>
          <w:rFonts w:ascii="宋体" w:hAnsi="宋体" w:eastAsia="宋体"/>
          <w:b w:val="0"/>
          <w:bCs w:val="0"/>
          <w:sz w:val="21"/>
          <w:szCs w:val="21"/>
        </w:rPr>
        <w:t>、</w:t>
      </w:r>
      <w:r>
        <w:rPr>
          <w:rFonts w:hint="eastAsia" w:ascii="宋体" w:hAnsi="宋体" w:eastAsia="宋体"/>
          <w:b w:val="0"/>
          <w:bCs w:val="0"/>
          <w:sz w:val="21"/>
          <w:szCs w:val="21"/>
          <w:lang w:val="en-US" w:eastAsia="zh-CN"/>
        </w:rPr>
        <w:t>法律法规等有其他规定的，从其规定。</w:t>
      </w:r>
    </w:p>
    <w:p>
      <w:pPr>
        <w:spacing w:line="240" w:lineRule="auto"/>
        <w:ind w:firstLine="420" w:firstLineChars="200"/>
        <w:rPr>
          <w:rFonts w:hint="eastAsia" w:ascii="宋体" w:hAnsi="宋体" w:eastAsia="宋体"/>
          <w:sz w:val="21"/>
          <w:szCs w:val="21"/>
        </w:rPr>
      </w:pPr>
    </w:p>
    <w:p>
      <w:pPr>
        <w:pStyle w:val="12"/>
        <w:rPr>
          <w:sz w:val="28"/>
          <w:szCs w:val="28"/>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表12-2 土壤污染防治从业单位出具虚假报告的裁量标准</w:t>
      </w:r>
    </w:p>
    <w:tbl>
      <w:tblPr>
        <w:tblStyle w:val="9"/>
        <w:tblW w:w="90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383"/>
        <w:gridCol w:w="3631"/>
        <w:gridCol w:w="1230"/>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71"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383"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3631"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2160" w:type="dxa"/>
            <w:gridSpan w:val="2"/>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b/>
                <w:bCs/>
                <w:sz w:val="21"/>
                <w:szCs w:val="21"/>
              </w:rPr>
            </w:pPr>
          </w:p>
        </w:tc>
        <w:tc>
          <w:tcPr>
            <w:tcW w:w="3631" w:type="dxa"/>
            <w:vMerge w:val="continue"/>
            <w:vAlign w:val="center"/>
          </w:tcPr>
          <w:p>
            <w:pPr>
              <w:spacing w:line="240" w:lineRule="auto"/>
              <w:ind w:firstLine="0"/>
              <w:jc w:val="center"/>
              <w:rPr>
                <w:rFonts w:ascii="宋体" w:hAnsi="宋体" w:eastAsia="宋体"/>
                <w:b/>
                <w:bCs/>
                <w:sz w:val="21"/>
                <w:szCs w:val="21"/>
              </w:rPr>
            </w:pPr>
          </w:p>
        </w:tc>
        <w:tc>
          <w:tcPr>
            <w:tcW w:w="123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出具虚假报告的</w:t>
            </w:r>
          </w:p>
        </w:tc>
        <w:tc>
          <w:tcPr>
            <w:tcW w:w="93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情节</w:t>
            </w:r>
          </w:p>
          <w:p>
            <w:pPr>
              <w:spacing w:line="240" w:lineRule="auto"/>
              <w:ind w:firstLine="0"/>
              <w:jc w:val="center"/>
              <w:rPr>
                <w:rFonts w:ascii="宋体" w:hAnsi="宋体" w:eastAsia="宋体"/>
                <w:b/>
                <w:bCs/>
                <w:sz w:val="21"/>
                <w:szCs w:val="21"/>
              </w:rPr>
            </w:pPr>
            <w:r>
              <w:rPr>
                <w:rFonts w:ascii="宋体" w:hAnsi="宋体" w:eastAsia="宋体"/>
                <w:b/>
                <w:bCs/>
                <w:sz w:val="21"/>
                <w:szCs w:val="21"/>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885"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230"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lang w:bidi="ar"/>
              </w:rPr>
              <w:t>20%</w:t>
            </w:r>
          </w:p>
        </w:tc>
        <w:tc>
          <w:tcPr>
            <w:tcW w:w="93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涉及的污染地块数量</w:t>
            </w: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1块</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2块</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3块以上</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22%</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造成环境危害后果程度</w:t>
            </w: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尚未造成环境危害后果</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造成一定的环境危害后果</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18%</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造成严重的环境危害后果</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违法行为持续时间</w:t>
            </w: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不足1个月</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1个月以上不足3个月</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3个月以上不足6个月</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7%</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sz w:val="21"/>
                <w:szCs w:val="21"/>
              </w:rPr>
              <w:t>6个月以上</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19%</w:t>
            </w:r>
          </w:p>
        </w:tc>
        <w:tc>
          <w:tcPr>
            <w:tcW w:w="9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383"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3631"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c>
          <w:tcPr>
            <w:tcW w:w="93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9</w:t>
            </w:r>
            <w:r>
              <w:rPr>
                <w:rFonts w:ascii="宋体" w:hAnsi="宋体" w:eastAsia="宋体"/>
                <w:color w:val="000000"/>
                <w:sz w:val="21"/>
                <w:szCs w:val="21"/>
                <w:lang w:bidi="ar"/>
              </w:rPr>
              <w:t>%</w:t>
            </w:r>
          </w:p>
        </w:tc>
        <w:tc>
          <w:tcPr>
            <w:tcW w:w="93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9</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71" w:type="dxa"/>
            <w:vMerge w:val="continue"/>
            <w:vAlign w:val="center"/>
          </w:tcPr>
          <w:p>
            <w:pPr>
              <w:spacing w:line="240" w:lineRule="auto"/>
              <w:ind w:firstLine="0"/>
              <w:jc w:val="center"/>
              <w:rPr>
                <w:rFonts w:ascii="宋体" w:hAnsi="宋体" w:eastAsia="宋体"/>
                <w:b/>
                <w:bCs/>
                <w:sz w:val="21"/>
                <w:szCs w:val="21"/>
              </w:rPr>
            </w:pPr>
          </w:p>
        </w:tc>
        <w:tc>
          <w:tcPr>
            <w:tcW w:w="2383" w:type="dxa"/>
            <w:vMerge w:val="continue"/>
            <w:vAlign w:val="center"/>
          </w:tcPr>
          <w:p>
            <w:pPr>
              <w:spacing w:line="240" w:lineRule="auto"/>
              <w:ind w:firstLine="0"/>
              <w:jc w:val="center"/>
              <w:rPr>
                <w:rFonts w:ascii="宋体" w:hAnsi="宋体" w:eastAsia="宋体"/>
                <w:sz w:val="21"/>
                <w:szCs w:val="21"/>
              </w:rPr>
            </w:pPr>
          </w:p>
        </w:tc>
        <w:tc>
          <w:tcPr>
            <w:tcW w:w="3631"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3次以上</w:t>
            </w:r>
          </w:p>
        </w:tc>
        <w:tc>
          <w:tcPr>
            <w:tcW w:w="1230"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21%</w:t>
            </w:r>
          </w:p>
        </w:tc>
        <w:tc>
          <w:tcPr>
            <w:tcW w:w="930"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25%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适用于《中华人民共和国土壤污染防治法》第九十条规定“受委托从事土壤污染状况调查和土壤污染风险评估、风险管控效果评估、修复效果评估活动的单位，出具虚假调查报告、风险评估报告、风险管控效果评估报告、修复效果评估报告的，由地方人民政府生态环境主管部门处十万元以上五十万元以下的罚款；情节严重的，禁止从事上述业务，并处五十万元以上一百万元以下的罚款”的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情节严重是指造成严重的环境违法后果情形。</w:t>
      </w:r>
    </w:p>
    <w:p>
      <w:pPr>
        <w:spacing w:line="240" w:lineRule="auto"/>
        <w:ind w:firstLine="420" w:firstLineChars="200"/>
        <w:rPr>
          <w:rFonts w:ascii="宋体" w:hAnsi="宋体" w:eastAsia="宋体"/>
          <w:sz w:val="21"/>
          <w:szCs w:val="21"/>
        </w:rPr>
      </w:pPr>
      <w:r>
        <w:rPr>
          <w:rFonts w:hint="eastAsia" w:ascii="宋体" w:hAnsi="宋体" w:eastAsia="宋体"/>
          <w:sz w:val="21"/>
          <w:szCs w:val="21"/>
        </w:rPr>
        <w:t>3、</w:t>
      </w:r>
      <w:r>
        <w:rPr>
          <w:rFonts w:ascii="宋体" w:hAnsi="宋体" w:eastAsia="宋体"/>
          <w:sz w:val="21"/>
          <w:szCs w:val="21"/>
        </w:rPr>
        <w:t>本表的裁量计算方法如下：</w:t>
      </w:r>
    </w:p>
    <w:p>
      <w:pPr>
        <w:spacing w:line="240" w:lineRule="auto"/>
        <w:ind w:firstLine="420" w:firstLineChars="200"/>
        <w:rPr>
          <w:rFonts w:ascii="宋体" w:hAnsi="宋体" w:eastAsia="宋体"/>
          <w:sz w:val="21"/>
          <w:szCs w:val="21"/>
        </w:rPr>
      </w:pPr>
      <w:r>
        <w:rPr>
          <w:rFonts w:hint="eastAsia" w:ascii="宋体" w:hAnsi="宋体" w:eastAsia="宋体"/>
          <w:sz w:val="21"/>
          <w:szCs w:val="21"/>
        </w:rPr>
        <w:t>（1）</w:t>
      </w:r>
      <w:r>
        <w:rPr>
          <w:rFonts w:ascii="宋体" w:hAnsi="宋体" w:eastAsia="宋体"/>
          <w:sz w:val="21"/>
          <w:szCs w:val="21"/>
        </w:rPr>
        <w:t>出具虚假报告的罚款金额=出具虚假报告的裁量百分值总和×50万；</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情形严重的罚款金额=情形严重的裁量百分值总和×100万。</w:t>
      </w:r>
    </w:p>
    <w:p>
      <w:pPr>
        <w:spacing w:line="240" w:lineRule="auto"/>
        <w:ind w:firstLine="420" w:firstLineChars="200"/>
        <w:rPr>
          <w:rFonts w:ascii="宋体" w:hAnsi="宋体" w:eastAsia="宋体"/>
          <w:sz w:val="21"/>
          <w:szCs w:val="21"/>
        </w:rPr>
      </w:pPr>
      <w:r>
        <w:rPr>
          <w:rFonts w:hint="eastAsia" w:ascii="宋体" w:hAnsi="宋体" w:eastAsia="宋体"/>
          <w:sz w:val="21"/>
          <w:szCs w:val="21"/>
        </w:rPr>
        <w:t>4、</w:t>
      </w:r>
      <w:r>
        <w:rPr>
          <w:rFonts w:ascii="宋体" w:hAnsi="宋体" w:eastAsia="宋体"/>
          <w:sz w:val="21"/>
          <w:szCs w:val="21"/>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rPr>
        <w:t>5、</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hint="default" w:ascii="宋体" w:hAnsi="宋体" w:eastAsia="宋体"/>
          <w:b w:val="0"/>
          <w:bCs w:val="0"/>
          <w:sz w:val="21"/>
          <w:szCs w:val="21"/>
          <w:lang w:val="en-US" w:eastAsia="zh-CN"/>
        </w:rPr>
      </w:pPr>
      <w:r>
        <w:rPr>
          <w:rFonts w:hint="eastAsia" w:ascii="宋体" w:hAnsi="宋体" w:eastAsia="宋体"/>
          <w:b w:val="0"/>
          <w:bCs w:val="0"/>
          <w:sz w:val="21"/>
          <w:szCs w:val="21"/>
          <w:lang w:val="en-US" w:eastAsia="zh-CN"/>
        </w:rPr>
        <w:t>6</w:t>
      </w:r>
      <w:r>
        <w:rPr>
          <w:rFonts w:ascii="宋体" w:hAnsi="宋体" w:eastAsia="宋体"/>
          <w:b w:val="0"/>
          <w:bCs w:val="0"/>
          <w:sz w:val="21"/>
          <w:szCs w:val="21"/>
        </w:rPr>
        <w:t>、</w:t>
      </w:r>
      <w:r>
        <w:rPr>
          <w:rFonts w:hint="eastAsia" w:ascii="宋体" w:hAnsi="宋体" w:eastAsia="宋体"/>
          <w:b w:val="0"/>
          <w:bCs w:val="0"/>
          <w:sz w:val="21"/>
          <w:szCs w:val="21"/>
          <w:lang w:val="en-US" w:eastAsia="zh-CN"/>
        </w:rPr>
        <w:t>法律法规等有其他规定的，从其规定。</w:t>
      </w:r>
    </w:p>
    <w:p>
      <w:pPr>
        <w:spacing w:line="240" w:lineRule="auto"/>
        <w:ind w:firstLine="420" w:firstLineChars="200"/>
        <w:rPr>
          <w:rFonts w:ascii="宋体" w:hAnsi="宋体" w:eastAsia="宋体"/>
          <w:sz w:val="21"/>
          <w:szCs w:val="21"/>
        </w:rPr>
      </w:pPr>
    </w:p>
    <w:p>
      <w:pPr>
        <w:pStyle w:val="12"/>
      </w:pPr>
    </w:p>
    <w:p>
      <w:pPr>
        <w:pStyle w:val="12"/>
        <w:jc w:val="center"/>
        <w:rPr>
          <w:b/>
          <w:bCs/>
        </w:rPr>
      </w:pPr>
      <w:r>
        <w:rPr>
          <w:rFonts w:hint="eastAsia" w:ascii="华文仿宋" w:hAnsi="华文仿宋" w:eastAsia="华文仿宋" w:cs="华文仿宋"/>
          <w:snapToGrid w:val="0"/>
          <w:sz w:val="28"/>
          <w:szCs w:val="18"/>
          <w:lang w:val="en-US" w:eastAsia="zh-CN" w:bidi="ar-SA"/>
        </w:rPr>
        <w:t>表12-3 对违法责任人员的裁量标准</w:t>
      </w:r>
    </w:p>
    <w:tbl>
      <w:tblPr>
        <w:tblStyle w:val="9"/>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522"/>
        <w:gridCol w:w="3883"/>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9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522"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3883"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裁量因子</w:t>
            </w:r>
          </w:p>
        </w:tc>
        <w:tc>
          <w:tcPr>
            <w:tcW w:w="1630"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7395" w:type="dxa"/>
            <w:gridSpan w:val="3"/>
            <w:vAlign w:val="center"/>
          </w:tcPr>
          <w:p>
            <w:pPr>
              <w:spacing w:line="240" w:lineRule="auto"/>
              <w:ind w:firstLine="0"/>
              <w:jc w:val="center"/>
              <w:rPr>
                <w:rFonts w:ascii="宋体" w:hAnsi="宋体" w:eastAsia="宋体"/>
                <w:sz w:val="21"/>
                <w:szCs w:val="21"/>
              </w:rPr>
            </w:pPr>
            <w:r>
              <w:rPr>
                <w:rFonts w:ascii="宋体" w:hAnsi="宋体" w:eastAsia="宋体"/>
                <w:sz w:val="21"/>
                <w:szCs w:val="21"/>
              </w:rPr>
              <w:t>裁量起点</w:t>
            </w:r>
          </w:p>
        </w:tc>
        <w:tc>
          <w:tcPr>
            <w:tcW w:w="163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52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造成环境危害</w:t>
            </w:r>
          </w:p>
          <w:p>
            <w:pPr>
              <w:spacing w:line="240" w:lineRule="auto"/>
              <w:ind w:firstLine="0"/>
              <w:jc w:val="center"/>
              <w:rPr>
                <w:rFonts w:ascii="宋体" w:hAnsi="宋体" w:eastAsia="宋体"/>
                <w:sz w:val="21"/>
                <w:szCs w:val="21"/>
              </w:rPr>
            </w:pPr>
            <w:r>
              <w:rPr>
                <w:rFonts w:ascii="宋体" w:hAnsi="宋体" w:eastAsia="宋体"/>
                <w:sz w:val="21"/>
                <w:szCs w:val="21"/>
              </w:rPr>
              <w:t>后果程度</w:t>
            </w:r>
          </w:p>
        </w:tc>
        <w:tc>
          <w:tcPr>
            <w:tcW w:w="3883"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尚未造成环境危害后果</w:t>
            </w:r>
          </w:p>
        </w:tc>
        <w:tc>
          <w:tcPr>
            <w:tcW w:w="1630"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continue"/>
            <w:vAlign w:val="center"/>
          </w:tcPr>
          <w:p>
            <w:pPr>
              <w:spacing w:line="240" w:lineRule="auto"/>
              <w:ind w:firstLine="0"/>
              <w:jc w:val="center"/>
              <w:rPr>
                <w:rFonts w:ascii="宋体" w:hAnsi="宋体" w:eastAsia="宋体"/>
                <w:sz w:val="21"/>
                <w:szCs w:val="21"/>
              </w:rPr>
            </w:pPr>
          </w:p>
        </w:tc>
        <w:tc>
          <w:tcPr>
            <w:tcW w:w="2522" w:type="dxa"/>
            <w:vMerge w:val="continue"/>
            <w:vAlign w:val="center"/>
          </w:tcPr>
          <w:p>
            <w:pPr>
              <w:spacing w:line="240" w:lineRule="auto"/>
              <w:ind w:firstLine="0"/>
              <w:jc w:val="center"/>
              <w:rPr>
                <w:rFonts w:ascii="宋体" w:hAnsi="宋体" w:eastAsia="宋体"/>
                <w:sz w:val="21"/>
                <w:szCs w:val="21"/>
              </w:rPr>
            </w:pPr>
          </w:p>
        </w:tc>
        <w:tc>
          <w:tcPr>
            <w:tcW w:w="3883"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造成一定环境危害后果</w:t>
            </w:r>
          </w:p>
        </w:tc>
        <w:tc>
          <w:tcPr>
            <w:tcW w:w="1630" w:type="dxa"/>
            <w:vAlign w:val="center"/>
          </w:tcPr>
          <w:p>
            <w:pPr>
              <w:spacing w:line="240" w:lineRule="auto"/>
              <w:ind w:firstLine="0"/>
              <w:jc w:val="center"/>
              <w:rPr>
                <w:rFonts w:ascii="宋体" w:hAnsi="宋体" w:eastAsia="宋体"/>
                <w:sz w:val="21"/>
                <w:szCs w:val="21"/>
                <w:lang w:bidi="ar"/>
              </w:rPr>
            </w:pPr>
            <w:r>
              <w:rPr>
                <w:rFonts w:hint="eastAsia" w:ascii="宋体" w:hAnsi="宋体" w:eastAsia="宋体"/>
                <w:sz w:val="21"/>
                <w:szCs w:val="21"/>
                <w:lang w:val="en-US" w:eastAsia="zh-CN" w:bidi="ar"/>
              </w:rPr>
              <w:t>1</w:t>
            </w:r>
            <w:r>
              <w:rPr>
                <w:rFonts w:ascii="宋体" w:hAnsi="宋体" w:eastAsia="宋体"/>
                <w:sz w:val="21"/>
                <w:szCs w:val="21"/>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continue"/>
            <w:vAlign w:val="center"/>
          </w:tcPr>
          <w:p>
            <w:pPr>
              <w:spacing w:line="240" w:lineRule="auto"/>
              <w:ind w:firstLine="0"/>
              <w:jc w:val="center"/>
              <w:rPr>
                <w:rFonts w:ascii="宋体" w:hAnsi="宋体" w:eastAsia="宋体"/>
                <w:sz w:val="21"/>
                <w:szCs w:val="21"/>
              </w:rPr>
            </w:pPr>
          </w:p>
        </w:tc>
        <w:tc>
          <w:tcPr>
            <w:tcW w:w="2522" w:type="dxa"/>
            <w:vMerge w:val="continue"/>
            <w:vAlign w:val="center"/>
          </w:tcPr>
          <w:p>
            <w:pPr>
              <w:spacing w:line="240" w:lineRule="auto"/>
              <w:ind w:firstLine="0"/>
              <w:jc w:val="center"/>
              <w:rPr>
                <w:rFonts w:ascii="宋体" w:hAnsi="宋体" w:eastAsia="宋体"/>
                <w:sz w:val="21"/>
                <w:szCs w:val="21"/>
              </w:rPr>
            </w:pPr>
          </w:p>
        </w:tc>
        <w:tc>
          <w:tcPr>
            <w:tcW w:w="3883"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造成严重环境危害后果</w:t>
            </w:r>
          </w:p>
        </w:tc>
        <w:tc>
          <w:tcPr>
            <w:tcW w:w="1630" w:type="dxa"/>
            <w:vAlign w:val="center"/>
          </w:tcPr>
          <w:p>
            <w:pPr>
              <w:spacing w:line="240" w:lineRule="auto"/>
              <w:ind w:firstLine="0"/>
              <w:jc w:val="center"/>
              <w:rPr>
                <w:rFonts w:ascii="宋体" w:hAnsi="宋体" w:eastAsia="宋体"/>
                <w:sz w:val="21"/>
                <w:szCs w:val="21"/>
                <w:lang w:bidi="ar"/>
              </w:rPr>
            </w:pPr>
            <w:r>
              <w:rPr>
                <w:rFonts w:hint="eastAsia" w:ascii="宋体" w:hAnsi="宋体" w:eastAsia="宋体"/>
                <w:sz w:val="21"/>
                <w:szCs w:val="21"/>
                <w:lang w:val="en-US" w:eastAsia="zh-CN" w:bidi="ar"/>
              </w:rPr>
              <w:t>40</w:t>
            </w:r>
            <w:r>
              <w:rPr>
                <w:rFonts w:ascii="宋体" w:hAnsi="宋体" w:eastAsia="宋体"/>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restart"/>
            <w:vAlign w:val="center"/>
          </w:tcPr>
          <w:p>
            <w:pPr>
              <w:spacing w:line="240" w:lineRule="auto"/>
              <w:ind w:firstLine="0"/>
              <w:jc w:val="center"/>
              <w:rPr>
                <w:rFonts w:hint="eastAsia" w:ascii="宋体" w:hAnsi="宋体" w:eastAsia="宋体"/>
                <w:sz w:val="21"/>
                <w:szCs w:val="21"/>
                <w:lang w:eastAsia="zh-CN"/>
              </w:rPr>
            </w:pPr>
            <w:r>
              <w:rPr>
                <w:rFonts w:hint="eastAsia" w:ascii="宋体" w:hAnsi="宋体" w:eastAsia="宋体"/>
                <w:sz w:val="21"/>
                <w:szCs w:val="21"/>
                <w:lang w:val="en-US" w:eastAsia="zh-CN"/>
              </w:rPr>
              <w:t>2</w:t>
            </w:r>
          </w:p>
        </w:tc>
        <w:tc>
          <w:tcPr>
            <w:tcW w:w="252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责任主体</w:t>
            </w:r>
          </w:p>
        </w:tc>
        <w:tc>
          <w:tcPr>
            <w:tcW w:w="3883" w:type="dxa"/>
            <w:vAlign w:val="center"/>
          </w:tcPr>
          <w:p>
            <w:pPr>
              <w:spacing w:line="240" w:lineRule="auto"/>
              <w:ind w:firstLine="0"/>
              <w:rPr>
                <w:rFonts w:ascii="宋体" w:hAnsi="宋体" w:eastAsia="宋体"/>
                <w:sz w:val="21"/>
                <w:szCs w:val="21"/>
              </w:rPr>
            </w:pPr>
            <w:r>
              <w:rPr>
                <w:rFonts w:ascii="宋体" w:hAnsi="宋体" w:eastAsia="宋体"/>
                <w:sz w:val="21"/>
                <w:szCs w:val="21"/>
              </w:rPr>
              <w:t>其他直接责任人员</w:t>
            </w:r>
          </w:p>
        </w:tc>
        <w:tc>
          <w:tcPr>
            <w:tcW w:w="16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continue"/>
            <w:vAlign w:val="center"/>
          </w:tcPr>
          <w:p>
            <w:pPr>
              <w:spacing w:line="240" w:lineRule="auto"/>
              <w:ind w:firstLine="0"/>
              <w:jc w:val="center"/>
              <w:rPr>
                <w:rFonts w:ascii="宋体" w:hAnsi="宋体" w:eastAsia="宋体"/>
                <w:sz w:val="21"/>
                <w:szCs w:val="21"/>
              </w:rPr>
            </w:pPr>
          </w:p>
        </w:tc>
        <w:tc>
          <w:tcPr>
            <w:tcW w:w="2522" w:type="dxa"/>
            <w:vMerge w:val="continue"/>
            <w:vAlign w:val="center"/>
          </w:tcPr>
          <w:p>
            <w:pPr>
              <w:spacing w:line="240" w:lineRule="auto"/>
              <w:ind w:firstLine="0"/>
              <w:jc w:val="center"/>
              <w:rPr>
                <w:rFonts w:ascii="宋体" w:hAnsi="宋体" w:eastAsia="宋体"/>
                <w:sz w:val="21"/>
                <w:szCs w:val="21"/>
              </w:rPr>
            </w:pPr>
          </w:p>
        </w:tc>
        <w:tc>
          <w:tcPr>
            <w:tcW w:w="3883" w:type="dxa"/>
            <w:vAlign w:val="center"/>
          </w:tcPr>
          <w:p>
            <w:pPr>
              <w:spacing w:line="240" w:lineRule="auto"/>
              <w:ind w:firstLine="0"/>
              <w:rPr>
                <w:rFonts w:ascii="宋体" w:hAnsi="宋体" w:eastAsia="宋体"/>
                <w:sz w:val="21"/>
                <w:szCs w:val="21"/>
              </w:rPr>
            </w:pPr>
            <w:r>
              <w:rPr>
                <w:rFonts w:ascii="宋体" w:hAnsi="宋体" w:eastAsia="宋体"/>
                <w:sz w:val="21"/>
                <w:szCs w:val="21"/>
              </w:rPr>
              <w:t>直接负责的主管人员</w:t>
            </w:r>
          </w:p>
        </w:tc>
        <w:tc>
          <w:tcPr>
            <w:tcW w:w="16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r>
              <w:rPr>
                <w:rFonts w:hint="eastAsia" w:ascii="宋体" w:hAnsi="宋体" w:eastAsia="宋体"/>
                <w:sz w:val="21"/>
                <w:szCs w:val="21"/>
                <w:lang w:val="en-US" w:eastAsia="zh-CN"/>
              </w:rPr>
              <w:t>5</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restart"/>
            <w:vAlign w:val="center"/>
          </w:tcPr>
          <w:p>
            <w:pPr>
              <w:spacing w:line="240" w:lineRule="auto"/>
              <w:ind w:firstLine="0"/>
              <w:jc w:val="center"/>
              <w:rPr>
                <w:rFonts w:hint="eastAsia" w:ascii="宋体" w:hAnsi="宋体" w:eastAsia="宋体"/>
                <w:sz w:val="21"/>
                <w:szCs w:val="21"/>
                <w:lang w:eastAsia="zh-CN"/>
              </w:rPr>
            </w:pPr>
            <w:r>
              <w:rPr>
                <w:rFonts w:hint="eastAsia" w:ascii="宋体" w:hAnsi="宋体" w:eastAsia="宋体"/>
                <w:sz w:val="21"/>
                <w:szCs w:val="21"/>
                <w:lang w:val="en-US" w:eastAsia="zh-CN"/>
              </w:rPr>
              <w:t>3</w:t>
            </w:r>
          </w:p>
        </w:tc>
        <w:tc>
          <w:tcPr>
            <w:tcW w:w="2522"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环境违法次数</w:t>
            </w:r>
          </w:p>
          <w:p>
            <w:pPr>
              <w:spacing w:line="240" w:lineRule="auto"/>
              <w:ind w:firstLine="0"/>
              <w:jc w:val="center"/>
              <w:rPr>
                <w:rFonts w:ascii="宋体" w:hAnsi="宋体" w:eastAsia="宋体"/>
                <w:sz w:val="21"/>
                <w:szCs w:val="21"/>
              </w:rPr>
            </w:pPr>
            <w:r>
              <w:rPr>
                <w:rFonts w:ascii="宋体" w:hAnsi="宋体" w:eastAsia="宋体"/>
                <w:sz w:val="21"/>
                <w:szCs w:val="21"/>
              </w:rPr>
              <w:t>（两年内，含本次）</w:t>
            </w:r>
          </w:p>
        </w:tc>
        <w:tc>
          <w:tcPr>
            <w:tcW w:w="3883"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630" w:type="dxa"/>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continue"/>
            <w:vAlign w:val="center"/>
          </w:tcPr>
          <w:p>
            <w:pPr>
              <w:spacing w:line="240" w:lineRule="auto"/>
              <w:ind w:firstLine="0"/>
              <w:jc w:val="center"/>
              <w:rPr>
                <w:rFonts w:ascii="宋体" w:hAnsi="宋体" w:eastAsia="宋体"/>
                <w:b/>
                <w:bCs/>
                <w:sz w:val="21"/>
                <w:szCs w:val="21"/>
              </w:rPr>
            </w:pPr>
          </w:p>
        </w:tc>
        <w:tc>
          <w:tcPr>
            <w:tcW w:w="2522" w:type="dxa"/>
            <w:vMerge w:val="continue"/>
            <w:vAlign w:val="center"/>
          </w:tcPr>
          <w:p>
            <w:pPr>
              <w:spacing w:line="240" w:lineRule="auto"/>
              <w:ind w:firstLine="0"/>
              <w:jc w:val="center"/>
              <w:rPr>
                <w:rFonts w:ascii="宋体" w:hAnsi="宋体" w:eastAsia="宋体"/>
                <w:sz w:val="21"/>
                <w:szCs w:val="21"/>
              </w:rPr>
            </w:pPr>
          </w:p>
        </w:tc>
        <w:tc>
          <w:tcPr>
            <w:tcW w:w="3883"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630" w:type="dxa"/>
            <w:vAlign w:val="center"/>
          </w:tcPr>
          <w:p>
            <w:pPr>
              <w:spacing w:line="240" w:lineRule="auto"/>
              <w:ind w:firstLine="0"/>
              <w:jc w:val="center"/>
              <w:rPr>
                <w:rFonts w:ascii="宋体" w:hAnsi="宋体" w:eastAsia="宋体"/>
                <w:sz w:val="21"/>
                <w:szCs w:val="21"/>
              </w:rPr>
            </w:pPr>
            <w:r>
              <w:rPr>
                <w:rFonts w:ascii="宋体" w:hAnsi="宋体" w:eastAsia="宋体"/>
                <w:color w:val="000000"/>
                <w:sz w:val="21"/>
                <w:szCs w:val="21"/>
                <w:lang w:bidi="ar"/>
              </w:rPr>
              <w:t>1</w:t>
            </w:r>
            <w:r>
              <w:rPr>
                <w:rFonts w:hint="eastAsia" w:ascii="宋体" w:hAnsi="宋体" w:eastAsia="宋体"/>
                <w:color w:val="000000"/>
                <w:sz w:val="21"/>
                <w:szCs w:val="21"/>
                <w:lang w:val="en-US" w:eastAsia="zh-CN" w:bidi="ar"/>
              </w:rPr>
              <w:t>6</w:t>
            </w:r>
            <w:r>
              <w:rPr>
                <w:rFonts w:ascii="宋体" w:hAnsi="宋体" w:eastAsia="宋体"/>
                <w:color w:val="000000"/>
                <w:sz w:val="21"/>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0" w:type="dxa"/>
            <w:vMerge w:val="continue"/>
            <w:vAlign w:val="center"/>
          </w:tcPr>
          <w:p>
            <w:pPr>
              <w:spacing w:line="240" w:lineRule="auto"/>
              <w:ind w:firstLine="0"/>
              <w:jc w:val="center"/>
              <w:rPr>
                <w:rFonts w:ascii="宋体" w:hAnsi="宋体" w:eastAsia="宋体"/>
                <w:b/>
                <w:bCs/>
                <w:sz w:val="21"/>
                <w:szCs w:val="21"/>
              </w:rPr>
            </w:pPr>
          </w:p>
        </w:tc>
        <w:tc>
          <w:tcPr>
            <w:tcW w:w="2522" w:type="dxa"/>
            <w:vMerge w:val="continue"/>
            <w:vAlign w:val="center"/>
          </w:tcPr>
          <w:p>
            <w:pPr>
              <w:spacing w:line="240" w:lineRule="auto"/>
              <w:ind w:firstLine="0"/>
              <w:jc w:val="center"/>
              <w:rPr>
                <w:rFonts w:ascii="宋体" w:hAnsi="宋体" w:eastAsia="宋体"/>
                <w:sz w:val="21"/>
                <w:szCs w:val="21"/>
              </w:rPr>
            </w:pPr>
          </w:p>
        </w:tc>
        <w:tc>
          <w:tcPr>
            <w:tcW w:w="3883"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3次以上</w:t>
            </w:r>
          </w:p>
        </w:tc>
        <w:tc>
          <w:tcPr>
            <w:tcW w:w="1630" w:type="dxa"/>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35</w:t>
            </w:r>
            <w:r>
              <w:rPr>
                <w:rFonts w:ascii="宋体" w:hAnsi="宋体" w:eastAsia="宋体"/>
                <w:color w:val="000000"/>
                <w:sz w:val="21"/>
                <w:szCs w:val="21"/>
                <w:lang w:bidi="ar"/>
              </w:rPr>
              <w:t>%</w:t>
            </w:r>
          </w:p>
        </w:tc>
      </w:tr>
    </w:tbl>
    <w:p>
      <w:pPr>
        <w:spacing w:line="240" w:lineRule="auto"/>
        <w:ind w:firstLine="420" w:firstLineChars="200"/>
        <w:rPr>
          <w:rFonts w:hint="eastAsia" w:ascii="宋体" w:hAnsi="宋体" w:eastAsia="宋体"/>
          <w:sz w:val="21"/>
          <w:szCs w:val="21"/>
        </w:rPr>
      </w:pPr>
    </w:p>
    <w:p>
      <w:pPr>
        <w:spacing w:line="240" w:lineRule="auto"/>
        <w:ind w:firstLine="420" w:firstLineChars="200"/>
        <w:rPr>
          <w:rFonts w:ascii="宋体" w:hAnsi="宋体" w:eastAsia="宋体"/>
          <w:sz w:val="21"/>
          <w:szCs w:val="21"/>
        </w:rPr>
      </w:pPr>
      <w:r>
        <w:rPr>
          <w:rFonts w:ascii="宋体" w:hAnsi="宋体" w:eastAsia="宋体"/>
          <w:sz w:val="21"/>
          <w:szCs w:val="21"/>
        </w:rPr>
        <w:t>注：1、生态环境法律法规规定的“对直接负责的主管人员和其他责任人员，处以罚款”的情形。</w:t>
      </w:r>
    </w:p>
    <w:p>
      <w:pPr>
        <w:spacing w:line="240" w:lineRule="auto"/>
        <w:ind w:firstLine="420" w:firstLineChars="200"/>
        <w:rPr>
          <w:rFonts w:ascii="宋体" w:hAnsi="宋体" w:eastAsia="宋体"/>
          <w:sz w:val="21"/>
          <w:szCs w:val="21"/>
        </w:rPr>
      </w:pPr>
      <w:r>
        <w:rPr>
          <w:rFonts w:ascii="宋体" w:hAnsi="宋体" w:eastAsia="宋体"/>
          <w:sz w:val="21"/>
          <w:szCs w:val="21"/>
        </w:rPr>
        <w:t>2、本表裁量起点的确定方法如下：</w:t>
      </w:r>
    </w:p>
    <w:p>
      <w:pPr>
        <w:spacing w:line="240" w:lineRule="auto"/>
        <w:ind w:firstLine="420" w:firstLineChars="200"/>
        <w:rPr>
          <w:rFonts w:ascii="宋体" w:hAnsi="宋体" w:eastAsia="宋体"/>
          <w:sz w:val="21"/>
          <w:szCs w:val="21"/>
        </w:rPr>
      </w:pPr>
      <w:r>
        <w:rPr>
          <w:rFonts w:ascii="宋体" w:hAnsi="宋体" w:eastAsia="宋体"/>
          <w:sz w:val="21"/>
          <w:szCs w:val="21"/>
        </w:rPr>
        <w:t>（1）裁量起点X=（法定最低罚款数额/法定最高罚款数额）×100%；</w:t>
      </w:r>
    </w:p>
    <w:p>
      <w:pPr>
        <w:spacing w:line="240" w:lineRule="auto"/>
        <w:ind w:firstLine="420" w:firstLineChars="200"/>
        <w:rPr>
          <w:rFonts w:ascii="宋体" w:hAnsi="宋体" w:eastAsia="宋体"/>
          <w:sz w:val="21"/>
          <w:szCs w:val="21"/>
        </w:rPr>
      </w:pPr>
      <w:r>
        <w:rPr>
          <w:rFonts w:ascii="宋体" w:hAnsi="宋体" w:eastAsia="宋体"/>
          <w:sz w:val="21"/>
          <w:szCs w:val="21"/>
        </w:rPr>
        <w:t>（2）如涉及到按照所收费用的倍数确定罚款的规定，裁量起点X=（处罚最低倍数/处罚最高倍数）×100%。</w:t>
      </w:r>
    </w:p>
    <w:p>
      <w:pPr>
        <w:spacing w:line="240" w:lineRule="auto"/>
        <w:ind w:firstLine="420" w:firstLineChars="200"/>
        <w:rPr>
          <w:rFonts w:ascii="宋体" w:hAnsi="宋体" w:eastAsia="宋体"/>
          <w:sz w:val="21"/>
          <w:szCs w:val="21"/>
        </w:rPr>
      </w:pPr>
      <w:r>
        <w:rPr>
          <w:rFonts w:ascii="宋体" w:hAnsi="宋体" w:eastAsia="宋体"/>
          <w:sz w:val="21"/>
          <w:szCs w:val="21"/>
        </w:rPr>
        <w:t>3、本表的裁量计算方法如下：</w:t>
      </w:r>
    </w:p>
    <w:p>
      <w:pPr>
        <w:spacing w:line="240" w:lineRule="auto"/>
        <w:ind w:firstLine="420" w:firstLineChars="200"/>
        <w:rPr>
          <w:rFonts w:ascii="宋体" w:hAnsi="宋体" w:eastAsia="宋体"/>
          <w:sz w:val="21"/>
          <w:szCs w:val="21"/>
        </w:rPr>
      </w:pPr>
      <w:r>
        <w:rPr>
          <w:rFonts w:ascii="宋体" w:hAnsi="宋体" w:eastAsia="宋体"/>
          <w:sz w:val="21"/>
          <w:szCs w:val="21"/>
        </w:rPr>
        <w:t>（1）罚款金额=[X+(裁量百分值</w:t>
      </w:r>
      <w:r>
        <w:rPr>
          <w:rFonts w:hint="eastAsia" w:ascii="宋体" w:hAnsi="宋体" w:eastAsia="宋体"/>
          <w:sz w:val="21"/>
          <w:szCs w:val="21"/>
        </w:rPr>
        <w:t>累加</w:t>
      </w:r>
      <w:r>
        <w:rPr>
          <w:rFonts w:ascii="宋体" w:hAnsi="宋体" w:eastAsia="宋体"/>
          <w:sz w:val="21"/>
          <w:szCs w:val="21"/>
        </w:rPr>
        <w:t>之和)×(1-X)]×法定最高罚款数额。</w:t>
      </w:r>
    </w:p>
    <w:p>
      <w:pPr>
        <w:spacing w:line="240" w:lineRule="auto"/>
        <w:ind w:firstLine="420" w:firstLineChars="200"/>
        <w:rPr>
          <w:rFonts w:ascii="宋体" w:hAnsi="宋体" w:eastAsia="宋体"/>
          <w:sz w:val="21"/>
          <w:szCs w:val="21"/>
        </w:rPr>
      </w:pPr>
      <w:r>
        <w:rPr>
          <w:rFonts w:ascii="宋体" w:hAnsi="宋体" w:eastAsia="宋体"/>
          <w:sz w:val="21"/>
          <w:szCs w:val="21"/>
        </w:rPr>
        <w:t>（2）如涉及到按照所收费用的倍数确定罚款的规定，裁量的计算方法：罚款金额＝所收费用×[X+(裁量百分值</w:t>
      </w:r>
      <w:r>
        <w:rPr>
          <w:rFonts w:hint="eastAsia" w:ascii="宋体" w:hAnsi="宋体" w:eastAsia="宋体"/>
          <w:sz w:val="21"/>
          <w:szCs w:val="21"/>
        </w:rPr>
        <w:t>累加</w:t>
      </w:r>
      <w:r>
        <w:rPr>
          <w:rFonts w:ascii="宋体" w:hAnsi="宋体" w:eastAsia="宋体"/>
          <w:sz w:val="21"/>
          <w:szCs w:val="21"/>
        </w:rPr>
        <w:t>之和)×(1-X)]×处罚的最高倍数。</w:t>
      </w:r>
    </w:p>
    <w:p>
      <w:pPr>
        <w:spacing w:line="240" w:lineRule="auto"/>
        <w:ind w:firstLine="420" w:firstLineChars="200"/>
        <w:rPr>
          <w:rFonts w:ascii="宋体" w:hAnsi="宋体" w:eastAsia="宋体"/>
          <w:sz w:val="21"/>
          <w:szCs w:val="21"/>
        </w:rPr>
      </w:pPr>
      <w:r>
        <w:rPr>
          <w:rFonts w:ascii="宋体" w:hAnsi="宋体" w:eastAsia="宋体"/>
          <w:sz w:val="21"/>
          <w:szCs w:val="21"/>
        </w:rPr>
        <w:t>4、本表所称的“以上”包括本数，“不足”不包括本数。</w:t>
      </w:r>
    </w:p>
    <w:p>
      <w:pPr>
        <w:spacing w:line="240" w:lineRule="auto"/>
        <w:ind w:firstLine="420" w:firstLineChars="200"/>
        <w:rPr>
          <w:rFonts w:ascii="宋体" w:hAnsi="宋体" w:eastAsia="宋体"/>
          <w:sz w:val="21"/>
          <w:szCs w:val="21"/>
        </w:rPr>
      </w:pPr>
      <w:r>
        <w:rPr>
          <w:rFonts w:ascii="宋体" w:hAnsi="宋体" w:eastAsia="宋体"/>
          <w:sz w:val="21"/>
          <w:szCs w:val="21"/>
        </w:rPr>
        <w:t>5、环境违法次数（两年内、含本次）指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hint="default" w:ascii="宋体" w:hAnsi="宋体" w:eastAsia="宋体"/>
          <w:b w:val="0"/>
          <w:bCs w:val="0"/>
          <w:sz w:val="21"/>
          <w:szCs w:val="21"/>
          <w:lang w:val="en-US" w:eastAsia="zh-CN"/>
        </w:rPr>
      </w:pPr>
      <w:r>
        <w:rPr>
          <w:rFonts w:hint="eastAsia" w:ascii="宋体" w:hAnsi="宋体" w:eastAsia="宋体"/>
          <w:b w:val="0"/>
          <w:bCs w:val="0"/>
          <w:sz w:val="21"/>
          <w:szCs w:val="21"/>
          <w:lang w:val="en-US" w:eastAsia="zh-CN"/>
        </w:rPr>
        <w:t>6</w:t>
      </w:r>
      <w:r>
        <w:rPr>
          <w:rFonts w:ascii="宋体" w:hAnsi="宋体" w:eastAsia="宋体"/>
          <w:b w:val="0"/>
          <w:bCs w:val="0"/>
          <w:sz w:val="21"/>
          <w:szCs w:val="21"/>
        </w:rPr>
        <w:t>、</w:t>
      </w:r>
      <w:r>
        <w:rPr>
          <w:rFonts w:hint="eastAsia" w:ascii="宋体" w:hAnsi="宋体" w:eastAsia="宋体"/>
          <w:b w:val="0"/>
          <w:bCs w:val="0"/>
          <w:sz w:val="21"/>
          <w:szCs w:val="21"/>
          <w:lang w:val="en-US" w:eastAsia="zh-CN"/>
        </w:rPr>
        <w:t>法律法规等有其他规定的，从其规定。</w:t>
      </w:r>
    </w:p>
    <w:p>
      <w:pPr>
        <w:spacing w:line="240" w:lineRule="auto"/>
        <w:ind w:firstLine="420" w:firstLineChars="200"/>
        <w:rPr>
          <w:rFonts w:ascii="宋体" w:hAnsi="宋体" w:eastAsia="宋体"/>
          <w:sz w:val="21"/>
          <w:szCs w:val="21"/>
        </w:rPr>
      </w:pPr>
    </w:p>
    <w:p>
      <w:pPr>
        <w:spacing w:line="240" w:lineRule="auto"/>
        <w:ind w:firstLine="420" w:firstLineChars="200"/>
        <w:jc w:val="left"/>
        <w:outlineLvl w:val="0"/>
        <w:rPr>
          <w:rFonts w:hint="eastAsia" w:ascii="方正黑体_GBK" w:hAnsi="宋体" w:eastAsia="方正黑体_GBK"/>
          <w:bCs/>
          <w:szCs w:val="32"/>
        </w:rPr>
      </w:pPr>
      <w:r>
        <w:rPr>
          <w:rFonts w:ascii="宋体" w:hAnsi="宋体" w:eastAsia="宋体"/>
          <w:sz w:val="21"/>
          <w:szCs w:val="21"/>
        </w:rPr>
        <w:br w:type="page"/>
      </w:r>
      <w:bookmarkStart w:id="12" w:name="_Toc16209"/>
      <w:r>
        <w:rPr>
          <w:rFonts w:hint="eastAsia" w:ascii="华文中宋" w:hAnsi="华文中宋" w:eastAsia="华文中宋" w:cs="华文中宋"/>
          <w:b/>
          <w:bCs/>
          <w:snapToGrid w:val="0"/>
          <w:sz w:val="44"/>
          <w:szCs w:val="22"/>
          <w:lang w:val="en-US" w:eastAsia="zh-CN" w:bidi="ar-SA"/>
        </w:rPr>
        <w:t>二、通用裁量表</w:t>
      </w:r>
      <w:bookmarkEnd w:id="12"/>
    </w:p>
    <w:p>
      <w:pPr>
        <w:pStyle w:val="12"/>
        <w:rPr>
          <w:rFonts w:hint="eastAsia" w:ascii="华文仿宋" w:hAnsi="华文仿宋" w:eastAsia="华文仿宋" w:cs="华文仿宋"/>
          <w:snapToGrid w:val="0"/>
          <w:sz w:val="28"/>
          <w:szCs w:val="18"/>
          <w:lang w:val="en-US" w:eastAsia="zh-CN" w:bidi="ar-SA"/>
        </w:rPr>
      </w:pPr>
      <w:r>
        <w:rPr>
          <w:rFonts w:hint="eastAsia" w:ascii="华文仿宋" w:hAnsi="华文仿宋" w:eastAsia="华文仿宋" w:cs="华文仿宋"/>
          <w:snapToGrid w:val="0"/>
          <w:sz w:val="28"/>
          <w:szCs w:val="18"/>
          <w:lang w:val="en-US" w:eastAsia="zh-CN" w:bidi="ar-SA"/>
        </w:rPr>
        <w:t>表13 通用裁量表</w:t>
      </w:r>
    </w:p>
    <w:tbl>
      <w:tblPr>
        <w:tblStyle w:val="9"/>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2265"/>
        <w:gridCol w:w="4289"/>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9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序号</w:t>
            </w:r>
          </w:p>
        </w:tc>
        <w:tc>
          <w:tcPr>
            <w:tcW w:w="2265"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裁量因素</w:t>
            </w:r>
          </w:p>
        </w:tc>
        <w:tc>
          <w:tcPr>
            <w:tcW w:w="4289" w:type="dxa"/>
            <w:vAlign w:val="center"/>
          </w:tcPr>
          <w:p>
            <w:pPr>
              <w:spacing w:line="240" w:lineRule="auto"/>
              <w:ind w:firstLine="0"/>
              <w:jc w:val="center"/>
              <w:rPr>
                <w:rFonts w:ascii="宋体" w:hAnsi="宋体" w:eastAsia="宋体"/>
                <w:sz w:val="21"/>
                <w:szCs w:val="21"/>
              </w:rPr>
            </w:pPr>
            <w:r>
              <w:rPr>
                <w:rFonts w:ascii="宋体" w:hAnsi="宋体" w:eastAsia="宋体"/>
                <w:b/>
                <w:bCs/>
                <w:sz w:val="21"/>
                <w:szCs w:val="21"/>
              </w:rPr>
              <w:t>裁量因子</w:t>
            </w:r>
          </w:p>
        </w:tc>
        <w:tc>
          <w:tcPr>
            <w:tcW w:w="1581" w:type="dxa"/>
            <w:vAlign w:val="center"/>
          </w:tcPr>
          <w:p>
            <w:pPr>
              <w:spacing w:line="240" w:lineRule="auto"/>
              <w:ind w:firstLine="0"/>
              <w:jc w:val="center"/>
              <w:rPr>
                <w:rFonts w:ascii="宋体" w:hAnsi="宋体" w:eastAsia="宋体"/>
                <w:b/>
                <w:bCs/>
                <w:sz w:val="21"/>
                <w:szCs w:val="21"/>
              </w:rPr>
            </w:pPr>
            <w:r>
              <w:rPr>
                <w:rFonts w:ascii="宋体" w:hAnsi="宋体" w:eastAsia="宋体"/>
                <w:b/>
                <w:bCs/>
                <w:sz w:val="21"/>
                <w:szCs w:val="21"/>
              </w:rPr>
              <w:t>裁量百分值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49" w:type="dxa"/>
            <w:gridSpan w:val="3"/>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裁量起点</w:t>
            </w:r>
          </w:p>
        </w:tc>
        <w:tc>
          <w:tcPr>
            <w:tcW w:w="1581" w:type="dxa"/>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1</w:t>
            </w:r>
          </w:p>
        </w:tc>
        <w:tc>
          <w:tcPr>
            <w:tcW w:w="2265" w:type="dxa"/>
            <w:vMerge w:val="restart"/>
            <w:vAlign w:val="center"/>
          </w:tcPr>
          <w:p>
            <w:pPr>
              <w:spacing w:line="240" w:lineRule="auto"/>
              <w:ind w:firstLine="0"/>
              <w:jc w:val="center"/>
              <w:rPr>
                <w:rFonts w:hint="default" w:ascii="宋体" w:hAnsi="宋体" w:eastAsia="宋体"/>
                <w:sz w:val="21"/>
                <w:szCs w:val="21"/>
                <w:lang w:val="en-US" w:eastAsia="zh-CN"/>
              </w:rPr>
            </w:pPr>
            <w:r>
              <w:rPr>
                <w:rFonts w:ascii="宋体" w:hAnsi="宋体" w:eastAsia="宋体"/>
                <w:sz w:val="21"/>
                <w:szCs w:val="21"/>
                <w:highlight w:val="none"/>
              </w:rPr>
              <w:t>违法行为的</w:t>
            </w:r>
            <w:r>
              <w:rPr>
                <w:rFonts w:hint="eastAsia" w:ascii="宋体" w:hAnsi="宋体" w:eastAsia="宋体"/>
                <w:sz w:val="21"/>
                <w:szCs w:val="21"/>
                <w:highlight w:val="none"/>
                <w:lang w:val="en-US" w:eastAsia="zh-CN"/>
              </w:rPr>
              <w:t>区域影响</w:t>
            </w:r>
          </w:p>
        </w:tc>
        <w:tc>
          <w:tcPr>
            <w:tcW w:w="4289" w:type="dxa"/>
            <w:vAlign w:val="center"/>
          </w:tcPr>
          <w:p>
            <w:pPr>
              <w:spacing w:line="240" w:lineRule="auto"/>
              <w:ind w:firstLine="0"/>
              <w:rPr>
                <w:rFonts w:hint="default" w:ascii="宋体" w:hAnsi="宋体" w:eastAsia="宋体"/>
                <w:sz w:val="21"/>
                <w:szCs w:val="21"/>
                <w:lang w:val="en-US" w:eastAsia="zh-CN" w:bidi="ar"/>
              </w:rPr>
            </w:pPr>
            <w:r>
              <w:rPr>
                <w:rFonts w:hint="eastAsia" w:ascii="宋体" w:hAnsi="宋体" w:eastAsia="宋体"/>
                <w:sz w:val="21"/>
                <w:szCs w:val="21"/>
                <w:lang w:bidi="ar"/>
              </w:rPr>
              <w:t>县级行政区域内</w:t>
            </w:r>
            <w:r>
              <w:rPr>
                <w:rFonts w:hint="eastAsia" w:ascii="宋体" w:hAnsi="宋体" w:eastAsia="宋体"/>
                <w:sz w:val="21"/>
                <w:szCs w:val="21"/>
                <w:lang w:eastAsia="zh-CN" w:bidi="ar"/>
              </w:rPr>
              <w:t>（</w:t>
            </w:r>
            <w:r>
              <w:rPr>
                <w:rFonts w:hint="eastAsia" w:ascii="宋体" w:hAnsi="宋体" w:eastAsia="宋体"/>
                <w:sz w:val="21"/>
                <w:szCs w:val="21"/>
                <w:lang w:val="en-US" w:eastAsia="zh-CN" w:bidi="ar"/>
              </w:rPr>
              <w:t>不跨乡镇街或在园区范围内）</w:t>
            </w:r>
          </w:p>
        </w:tc>
        <w:tc>
          <w:tcPr>
            <w:tcW w:w="1581" w:type="dxa"/>
            <w:vAlign w:val="center"/>
          </w:tcPr>
          <w:p>
            <w:pPr>
              <w:spacing w:line="240" w:lineRule="auto"/>
              <w:ind w:firstLine="0"/>
              <w:jc w:val="center"/>
              <w:rPr>
                <w:rFonts w:hint="default" w:ascii="宋体" w:hAnsi="宋体" w:eastAsia="宋体"/>
                <w:sz w:val="21"/>
                <w:szCs w:val="21"/>
                <w:lang w:val="en-US" w:eastAsia="zh-CN"/>
              </w:rPr>
            </w:pPr>
            <w:r>
              <w:rPr>
                <w:rFonts w:hint="eastAsia" w:ascii="宋体" w:hAnsi="宋体" w:eastAsia="宋体"/>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pPr>
          </w:p>
        </w:tc>
        <w:tc>
          <w:tcPr>
            <w:tcW w:w="2265" w:type="dxa"/>
            <w:vMerge w:val="continue"/>
            <w:vAlign w:val="center"/>
          </w:tcPr>
          <w:p>
            <w:pPr>
              <w:spacing w:line="240" w:lineRule="auto"/>
              <w:ind w:firstLine="0"/>
              <w:jc w:val="center"/>
            </w:pPr>
          </w:p>
        </w:tc>
        <w:tc>
          <w:tcPr>
            <w:tcW w:w="4289" w:type="dxa"/>
            <w:vAlign w:val="center"/>
          </w:tcPr>
          <w:p>
            <w:pPr>
              <w:spacing w:line="240" w:lineRule="auto"/>
              <w:ind w:firstLine="0"/>
              <w:jc w:val="left"/>
              <w:rPr>
                <w:rFonts w:hint="eastAsia" w:ascii="宋体" w:hAnsi="宋体" w:eastAsia="宋体"/>
                <w:sz w:val="21"/>
                <w:szCs w:val="21"/>
                <w:lang w:bidi="ar"/>
              </w:rPr>
            </w:pPr>
            <w:r>
              <w:rPr>
                <w:rFonts w:hint="eastAsia" w:ascii="宋体" w:hAnsi="宋体" w:eastAsia="宋体"/>
                <w:sz w:val="21"/>
                <w:szCs w:val="21"/>
                <w:lang w:bidi="ar"/>
              </w:rPr>
              <w:t>县级行政区域内</w:t>
            </w:r>
            <w:r>
              <w:rPr>
                <w:rFonts w:hint="eastAsia" w:ascii="宋体" w:hAnsi="宋体" w:eastAsia="宋体"/>
                <w:sz w:val="21"/>
                <w:szCs w:val="21"/>
                <w:lang w:eastAsia="zh-CN" w:bidi="ar"/>
              </w:rPr>
              <w:t>（</w:t>
            </w:r>
            <w:r>
              <w:rPr>
                <w:rFonts w:hint="eastAsia" w:ascii="宋体" w:hAnsi="宋体" w:eastAsia="宋体"/>
                <w:sz w:val="21"/>
                <w:szCs w:val="21"/>
                <w:lang w:val="en-US" w:eastAsia="zh-CN" w:bidi="ar"/>
              </w:rPr>
              <w:t>跨乡镇街或超出园区范围）</w:t>
            </w:r>
          </w:p>
        </w:tc>
        <w:tc>
          <w:tcPr>
            <w:tcW w:w="1581" w:type="dxa"/>
            <w:vAlign w:val="center"/>
          </w:tcPr>
          <w:p>
            <w:pPr>
              <w:spacing w:line="240" w:lineRule="auto"/>
              <w:ind w:firstLine="0"/>
              <w:jc w:val="center"/>
              <w:rPr>
                <w:rFonts w:hint="eastAsia" w:ascii="宋体" w:hAnsi="宋体" w:eastAsia="宋体"/>
                <w:sz w:val="21"/>
                <w:szCs w:val="21"/>
                <w:lang w:bidi="ar"/>
              </w:rPr>
            </w:pPr>
            <w:r>
              <w:rPr>
                <w:rFonts w:hint="eastAsia" w:ascii="宋体" w:hAnsi="宋体" w:eastAsia="宋体"/>
                <w:sz w:val="21"/>
                <w:szCs w:val="21"/>
                <w:lang w:val="en-US" w:eastAsia="zh-CN"/>
              </w:rPr>
              <w:t>5</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lang w:bidi="ar"/>
              </w:rPr>
            </w:pPr>
            <w:r>
              <w:rPr>
                <w:rFonts w:hint="eastAsia" w:ascii="宋体" w:hAnsi="宋体" w:eastAsia="宋体"/>
                <w:sz w:val="21"/>
                <w:szCs w:val="21"/>
                <w:lang w:bidi="ar"/>
              </w:rPr>
              <w:t>跨县级行政区域</w:t>
            </w:r>
          </w:p>
        </w:tc>
        <w:tc>
          <w:tcPr>
            <w:tcW w:w="1581" w:type="dxa"/>
            <w:vAlign w:val="center"/>
          </w:tcPr>
          <w:p>
            <w:pPr>
              <w:spacing w:line="240" w:lineRule="auto"/>
              <w:ind w:firstLine="0"/>
              <w:jc w:val="center"/>
              <w:rPr>
                <w:rFonts w:ascii="宋体" w:hAnsi="宋体" w:eastAsia="宋体"/>
                <w:sz w:val="21"/>
                <w:szCs w:val="21"/>
              </w:rPr>
            </w:pPr>
            <w:r>
              <w:rPr>
                <w:rFonts w:hint="eastAsia" w:ascii="宋体" w:hAnsi="宋体" w:eastAsia="宋体"/>
                <w:sz w:val="21"/>
                <w:szCs w:val="21"/>
                <w:lang w:val="en-US" w:eastAsia="zh-CN"/>
              </w:rPr>
              <w:t>12</w:t>
            </w:r>
            <w:r>
              <w:rPr>
                <w:rFonts w:ascii="宋体" w:hAnsi="宋体"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lang w:bidi="ar"/>
              </w:rPr>
            </w:pPr>
            <w:r>
              <w:rPr>
                <w:rFonts w:hint="eastAsia" w:ascii="宋体" w:hAnsi="宋体" w:eastAsia="宋体"/>
                <w:sz w:val="21"/>
                <w:szCs w:val="21"/>
                <w:lang w:bidi="ar"/>
              </w:rPr>
              <w:t>跨市级行政区域</w:t>
            </w:r>
          </w:p>
        </w:tc>
        <w:tc>
          <w:tcPr>
            <w:tcW w:w="158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lang w:bidi="ar"/>
              </w:rPr>
            </w:pPr>
            <w:r>
              <w:rPr>
                <w:rFonts w:hint="eastAsia" w:ascii="宋体" w:hAnsi="宋体" w:eastAsia="宋体"/>
                <w:sz w:val="21"/>
                <w:szCs w:val="21"/>
                <w:lang w:bidi="ar"/>
              </w:rPr>
              <w:t>跨省级行政区域</w:t>
            </w:r>
          </w:p>
        </w:tc>
        <w:tc>
          <w:tcPr>
            <w:tcW w:w="158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2</w:t>
            </w:r>
          </w:p>
        </w:tc>
        <w:tc>
          <w:tcPr>
            <w:tcW w:w="226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lang w:bidi="ar"/>
              </w:rPr>
              <w:t>违法行为持续时间</w:t>
            </w:r>
          </w:p>
        </w:tc>
        <w:tc>
          <w:tcPr>
            <w:tcW w:w="4289"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不足3个月</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3个月以上不足6个月</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6个月以上不足12个月</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lang w:bidi="ar"/>
              </w:rPr>
            </w:pPr>
            <w:r>
              <w:rPr>
                <w:rFonts w:ascii="宋体" w:hAnsi="宋体" w:eastAsia="宋体"/>
                <w:sz w:val="21"/>
                <w:szCs w:val="21"/>
                <w:lang w:bidi="ar"/>
              </w:rPr>
              <w:t>12个月以上</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3</w:t>
            </w:r>
          </w:p>
        </w:tc>
        <w:tc>
          <w:tcPr>
            <w:tcW w:w="2265" w:type="dxa"/>
            <w:vMerge w:val="restart"/>
            <w:vAlign w:val="center"/>
          </w:tcPr>
          <w:p>
            <w:pPr>
              <w:spacing w:line="240" w:lineRule="auto"/>
              <w:ind w:firstLine="0"/>
              <w:jc w:val="center"/>
              <w:rPr>
                <w:rFonts w:ascii="宋体" w:hAnsi="宋体" w:eastAsia="宋体"/>
                <w:sz w:val="21"/>
                <w:szCs w:val="21"/>
              </w:rPr>
            </w:pPr>
            <w:r>
              <w:rPr>
                <w:rFonts w:hint="eastAsia" w:ascii="宋体" w:hAnsi="宋体" w:eastAsia="宋体"/>
                <w:color w:val="000000"/>
                <w:sz w:val="21"/>
                <w:szCs w:val="21"/>
                <w:lang w:val="en-US" w:eastAsia="zh-CN" w:bidi="ar"/>
              </w:rPr>
              <w:t>违法行为发生</w:t>
            </w:r>
            <w:r>
              <w:rPr>
                <w:rFonts w:ascii="宋体" w:hAnsi="宋体" w:eastAsia="宋体"/>
                <w:color w:val="000000"/>
                <w:sz w:val="21"/>
                <w:szCs w:val="21"/>
                <w:lang w:bidi="ar"/>
              </w:rPr>
              <w:t>地点</w:t>
            </w:r>
          </w:p>
        </w:tc>
        <w:tc>
          <w:tcPr>
            <w:tcW w:w="4289" w:type="dxa"/>
            <w:vAlign w:val="center"/>
          </w:tcPr>
          <w:p>
            <w:pPr>
              <w:spacing w:line="240" w:lineRule="auto"/>
              <w:ind w:firstLine="0" w:firstLineChars="0"/>
              <w:rPr>
                <w:rFonts w:ascii="宋体" w:hAnsi="宋体" w:eastAsia="宋体"/>
                <w:sz w:val="21"/>
                <w:szCs w:val="21"/>
                <w:lang w:bidi="ar"/>
              </w:rPr>
            </w:pPr>
            <w:r>
              <w:rPr>
                <w:rFonts w:ascii="宋体" w:hAnsi="宋体" w:eastAsia="宋体"/>
                <w:color w:val="000000"/>
                <w:sz w:val="21"/>
                <w:szCs w:val="21"/>
                <w:lang w:bidi="ar"/>
              </w:rPr>
              <w:t>在生态保护红线区域外</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在生态保护红线区域内（除自然保护地核心保护区、饮用水水源一级保护区外）</w:t>
            </w:r>
          </w:p>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自然保护地一般控制区</w:t>
            </w:r>
          </w:p>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饮用水水源二级保护区</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自然保护地核心保护区</w:t>
            </w:r>
          </w:p>
          <w:p>
            <w:pPr>
              <w:spacing w:line="240" w:lineRule="auto"/>
              <w:ind w:firstLine="0" w:firstLineChars="0"/>
              <w:rPr>
                <w:rFonts w:ascii="宋体" w:hAnsi="宋体" w:eastAsia="宋体"/>
                <w:sz w:val="21"/>
                <w:szCs w:val="21"/>
                <w:lang w:bidi="ar"/>
              </w:rPr>
            </w:pPr>
            <w:r>
              <w:rPr>
                <w:rFonts w:ascii="宋体" w:hAnsi="宋体" w:eastAsia="宋体"/>
                <w:color w:val="000000"/>
                <w:sz w:val="21"/>
                <w:szCs w:val="21"/>
                <w:lang w:bidi="ar"/>
              </w:rPr>
              <w:t>饮用水水源一级保护区</w:t>
            </w:r>
          </w:p>
        </w:tc>
        <w:tc>
          <w:tcPr>
            <w:tcW w:w="1581" w:type="dxa"/>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vAlign w:val="center"/>
          </w:tcPr>
          <w:p>
            <w:pPr>
              <w:spacing w:line="240" w:lineRule="auto"/>
              <w:ind w:firstLine="0"/>
              <w:jc w:val="center"/>
              <w:rPr>
                <w:rFonts w:ascii="宋体" w:hAnsi="宋体" w:eastAsia="宋体"/>
                <w:sz w:val="21"/>
                <w:szCs w:val="21"/>
              </w:rPr>
            </w:pPr>
            <w:r>
              <w:rPr>
                <w:rFonts w:ascii="宋体" w:hAnsi="宋体" w:eastAsia="宋体"/>
                <w:sz w:val="21"/>
                <w:szCs w:val="21"/>
              </w:rPr>
              <w:t>4</w:t>
            </w:r>
          </w:p>
        </w:tc>
        <w:tc>
          <w:tcPr>
            <w:tcW w:w="2265" w:type="dxa"/>
            <w:vMerge w:val="restart"/>
            <w:vAlign w:val="center"/>
          </w:tcPr>
          <w:p>
            <w:pPr>
              <w:spacing w:line="240" w:lineRule="auto"/>
              <w:ind w:firstLine="0"/>
              <w:jc w:val="center"/>
              <w:rPr>
                <w:rFonts w:ascii="宋体" w:hAnsi="宋体" w:eastAsia="宋体"/>
                <w:sz w:val="21"/>
                <w:szCs w:val="21"/>
                <w:lang w:bidi="ar"/>
              </w:rPr>
            </w:pPr>
            <w:r>
              <w:rPr>
                <w:rFonts w:ascii="宋体" w:hAnsi="宋体" w:eastAsia="宋体"/>
                <w:sz w:val="21"/>
                <w:szCs w:val="21"/>
                <w:lang w:bidi="ar"/>
              </w:rPr>
              <w:t>环境违法次数</w:t>
            </w:r>
          </w:p>
          <w:p>
            <w:pPr>
              <w:spacing w:line="240" w:lineRule="auto"/>
              <w:ind w:firstLine="0"/>
              <w:jc w:val="center"/>
              <w:rPr>
                <w:rFonts w:ascii="宋体" w:hAnsi="宋体" w:eastAsia="宋体"/>
                <w:b/>
                <w:bCs/>
                <w:sz w:val="21"/>
                <w:szCs w:val="21"/>
              </w:rPr>
            </w:pPr>
            <w:r>
              <w:rPr>
                <w:rFonts w:ascii="宋体" w:hAnsi="宋体" w:eastAsia="宋体"/>
                <w:sz w:val="21"/>
                <w:szCs w:val="21"/>
                <w:lang w:bidi="ar"/>
              </w:rPr>
              <w:t>（两年内，含本次）</w:t>
            </w:r>
          </w:p>
        </w:tc>
        <w:tc>
          <w:tcPr>
            <w:tcW w:w="428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1次</w:t>
            </w:r>
          </w:p>
        </w:tc>
        <w:tc>
          <w:tcPr>
            <w:tcW w:w="158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b/>
                <w:bCs/>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2次</w:t>
            </w:r>
          </w:p>
        </w:tc>
        <w:tc>
          <w:tcPr>
            <w:tcW w:w="158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b/>
                <w:bCs/>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sz w:val="21"/>
                <w:szCs w:val="21"/>
              </w:rPr>
            </w:pPr>
            <w:r>
              <w:rPr>
                <w:rFonts w:ascii="宋体" w:hAnsi="宋体" w:eastAsia="宋体"/>
                <w:color w:val="000000"/>
                <w:sz w:val="21"/>
                <w:szCs w:val="21"/>
                <w:lang w:bidi="ar"/>
              </w:rPr>
              <w:t>3次</w:t>
            </w:r>
          </w:p>
        </w:tc>
        <w:tc>
          <w:tcPr>
            <w:tcW w:w="1581" w:type="dxa"/>
            <w:vAlign w:val="center"/>
          </w:tcPr>
          <w:p>
            <w:pPr>
              <w:spacing w:line="240" w:lineRule="auto"/>
              <w:ind w:firstLine="0"/>
              <w:jc w:val="center"/>
              <w:rPr>
                <w:rFonts w:ascii="宋体" w:hAnsi="宋体" w:eastAsia="宋体"/>
                <w:sz w:val="21"/>
                <w:szCs w:val="21"/>
              </w:rPr>
            </w:pPr>
            <w:r>
              <w:rPr>
                <w:rFonts w:ascii="宋体" w:hAnsi="宋体" w:eastAsia="宋体"/>
                <w:sz w:val="21"/>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b/>
                <w:bCs/>
                <w:sz w:val="21"/>
                <w:szCs w:val="21"/>
              </w:rPr>
            </w:pPr>
          </w:p>
        </w:tc>
        <w:tc>
          <w:tcPr>
            <w:tcW w:w="2265" w:type="dxa"/>
            <w:vMerge w:val="continue"/>
            <w:vAlign w:val="center"/>
          </w:tcPr>
          <w:p>
            <w:pPr>
              <w:spacing w:line="240" w:lineRule="auto"/>
              <w:ind w:firstLine="0"/>
              <w:jc w:val="center"/>
              <w:rPr>
                <w:rFonts w:ascii="宋体" w:hAnsi="宋体" w:eastAsia="宋体"/>
                <w:sz w:val="21"/>
                <w:szCs w:val="21"/>
              </w:rPr>
            </w:pPr>
          </w:p>
        </w:tc>
        <w:tc>
          <w:tcPr>
            <w:tcW w:w="4289" w:type="dxa"/>
            <w:vAlign w:val="center"/>
          </w:tcPr>
          <w:p>
            <w:pPr>
              <w:spacing w:line="240" w:lineRule="auto"/>
              <w:ind w:firstLine="0"/>
              <w:rPr>
                <w:rFonts w:ascii="宋体" w:hAnsi="宋体" w:eastAsia="宋体"/>
                <w:color w:val="000000"/>
                <w:sz w:val="21"/>
                <w:szCs w:val="21"/>
                <w:lang w:bidi="ar"/>
              </w:rPr>
            </w:pPr>
            <w:r>
              <w:rPr>
                <w:rFonts w:ascii="宋体" w:hAnsi="宋体" w:eastAsia="宋体"/>
                <w:color w:val="000000"/>
                <w:sz w:val="21"/>
                <w:szCs w:val="21"/>
                <w:lang w:bidi="ar"/>
              </w:rPr>
              <w:t>4次以上</w:t>
            </w:r>
          </w:p>
        </w:tc>
        <w:tc>
          <w:tcPr>
            <w:tcW w:w="158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restart"/>
            <w:vAlign w:val="center"/>
          </w:tcPr>
          <w:p>
            <w:pPr>
              <w:spacing w:line="240" w:lineRule="auto"/>
              <w:ind w:firstLine="0"/>
              <w:jc w:val="center"/>
              <w:rPr>
                <w:rFonts w:ascii="宋体" w:hAnsi="宋体" w:eastAsia="宋体"/>
                <w:b/>
                <w:bCs/>
                <w:sz w:val="21"/>
                <w:szCs w:val="21"/>
              </w:rPr>
            </w:pPr>
            <w:r>
              <w:rPr>
                <w:rFonts w:ascii="宋体" w:hAnsi="宋体" w:eastAsia="宋体"/>
                <w:sz w:val="21"/>
                <w:szCs w:val="21"/>
              </w:rPr>
              <w:t>5</w:t>
            </w:r>
          </w:p>
        </w:tc>
        <w:tc>
          <w:tcPr>
            <w:tcW w:w="2265" w:type="dxa"/>
            <w:vMerge w:val="restart"/>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对周边居民、单位等造成的不良影响</w:t>
            </w:r>
          </w:p>
          <w:p>
            <w:pPr>
              <w:spacing w:line="240" w:lineRule="auto"/>
              <w:ind w:firstLine="0" w:firstLineChars="0"/>
              <w:jc w:val="center"/>
              <w:rPr>
                <w:rFonts w:ascii="宋体" w:hAnsi="宋体" w:eastAsia="宋体"/>
                <w:sz w:val="21"/>
                <w:szCs w:val="21"/>
              </w:rPr>
            </w:pPr>
            <w:r>
              <w:rPr>
                <w:rFonts w:ascii="宋体" w:hAnsi="宋体" w:eastAsia="宋体"/>
                <w:color w:val="000000"/>
                <w:sz w:val="21"/>
                <w:szCs w:val="21"/>
                <w:lang w:bidi="ar"/>
              </w:rPr>
              <w:t>（一年内）</w:t>
            </w:r>
          </w:p>
        </w:tc>
        <w:tc>
          <w:tcPr>
            <w:tcW w:w="4289" w:type="dxa"/>
            <w:vAlign w:val="center"/>
          </w:tcPr>
          <w:p>
            <w:pPr>
              <w:spacing w:line="240" w:lineRule="auto"/>
              <w:ind w:firstLine="0" w:firstLineChars="0"/>
              <w:rPr>
                <w:rFonts w:ascii="宋体" w:hAnsi="宋体" w:eastAsia="宋体"/>
                <w:color w:val="000000"/>
                <w:sz w:val="21"/>
                <w:szCs w:val="21"/>
                <w:lang w:bidi="ar"/>
              </w:rPr>
            </w:pPr>
            <w:r>
              <w:rPr>
                <w:rFonts w:ascii="宋体" w:hAnsi="宋体" w:eastAsia="宋体"/>
                <w:color w:val="000000"/>
                <w:sz w:val="21"/>
                <w:szCs w:val="21"/>
                <w:lang w:bidi="ar"/>
              </w:rPr>
              <w:t>无</w:t>
            </w:r>
          </w:p>
        </w:tc>
        <w:tc>
          <w:tcPr>
            <w:tcW w:w="158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5" w:type="dxa"/>
            <w:vMerge w:val="continue"/>
            <w:vAlign w:val="center"/>
          </w:tcPr>
          <w:p>
            <w:pPr>
              <w:spacing w:line="240" w:lineRule="auto"/>
              <w:ind w:firstLine="0"/>
              <w:jc w:val="center"/>
              <w:rPr>
                <w:rFonts w:ascii="宋体" w:hAnsi="宋体" w:eastAsia="宋体"/>
                <w:b/>
                <w:bCs/>
                <w:sz w:val="21"/>
                <w:szCs w:val="21"/>
              </w:rPr>
            </w:pPr>
          </w:p>
        </w:tc>
        <w:tc>
          <w:tcPr>
            <w:tcW w:w="2265" w:type="dxa"/>
            <w:vMerge w:val="continue"/>
            <w:vAlign w:val="center"/>
          </w:tcPr>
          <w:p>
            <w:pPr>
              <w:spacing w:line="240" w:lineRule="auto"/>
              <w:ind w:firstLine="0" w:firstLineChars="0"/>
              <w:jc w:val="center"/>
              <w:rPr>
                <w:rFonts w:ascii="宋体" w:hAnsi="宋体" w:eastAsia="宋体"/>
                <w:sz w:val="21"/>
                <w:szCs w:val="21"/>
              </w:rPr>
            </w:pPr>
          </w:p>
        </w:tc>
        <w:tc>
          <w:tcPr>
            <w:tcW w:w="4289" w:type="dxa"/>
            <w:vAlign w:val="center"/>
          </w:tcPr>
          <w:p>
            <w:pPr>
              <w:spacing w:line="240" w:lineRule="auto"/>
              <w:ind w:firstLine="0" w:firstLineChars="0"/>
              <w:rPr>
                <w:rFonts w:hint="eastAsia" w:ascii="宋体" w:hAnsi="宋体" w:eastAsia="宋体"/>
                <w:color w:val="000000"/>
                <w:sz w:val="21"/>
                <w:szCs w:val="21"/>
                <w:lang w:eastAsia="zh-CN" w:bidi="ar"/>
              </w:rPr>
            </w:pPr>
            <w:r>
              <w:rPr>
                <w:rFonts w:ascii="宋体" w:hAnsi="宋体" w:eastAsia="宋体"/>
                <w:color w:val="000000"/>
                <w:sz w:val="21"/>
                <w:szCs w:val="21"/>
                <w:lang w:bidi="ar"/>
              </w:rPr>
              <w:t>有投诉且经核实</w:t>
            </w:r>
          </w:p>
        </w:tc>
        <w:tc>
          <w:tcPr>
            <w:tcW w:w="1581" w:type="dxa"/>
            <w:vAlign w:val="center"/>
          </w:tcPr>
          <w:p>
            <w:pPr>
              <w:spacing w:line="240" w:lineRule="auto"/>
              <w:ind w:firstLine="0"/>
              <w:jc w:val="center"/>
              <w:rPr>
                <w:rFonts w:ascii="宋体" w:hAnsi="宋体" w:eastAsia="宋体"/>
                <w:color w:val="000000"/>
                <w:sz w:val="21"/>
                <w:szCs w:val="21"/>
                <w:lang w:bidi="ar"/>
              </w:rPr>
            </w:pPr>
            <w:r>
              <w:rPr>
                <w:rFonts w:ascii="宋体" w:hAnsi="宋体" w:eastAsia="宋体"/>
                <w:color w:val="000000"/>
                <w:sz w:val="21"/>
                <w:szCs w:val="21"/>
                <w:lang w:bidi="ar"/>
              </w:rPr>
              <w:t>5%</w:t>
            </w:r>
          </w:p>
        </w:tc>
      </w:tr>
    </w:tbl>
    <w:p>
      <w:pPr>
        <w:spacing w:line="240" w:lineRule="auto"/>
        <w:ind w:firstLine="420" w:firstLineChars="200"/>
        <w:rPr>
          <w:rFonts w:ascii="宋体" w:hAnsi="宋体" w:eastAsia="宋体"/>
          <w:sz w:val="21"/>
          <w:szCs w:val="21"/>
        </w:rPr>
      </w:pPr>
      <w:r>
        <w:rPr>
          <w:rFonts w:ascii="宋体" w:hAnsi="宋体" w:eastAsia="宋体"/>
          <w:sz w:val="21"/>
          <w:szCs w:val="21"/>
        </w:rPr>
        <w:t>注：1、本表裁量起点的确定方法如下：</w:t>
      </w:r>
    </w:p>
    <w:p>
      <w:pPr>
        <w:spacing w:line="240" w:lineRule="auto"/>
        <w:ind w:firstLine="420" w:firstLineChars="200"/>
        <w:rPr>
          <w:rFonts w:ascii="宋体" w:hAnsi="宋体" w:eastAsia="宋体"/>
          <w:sz w:val="21"/>
          <w:szCs w:val="21"/>
        </w:rPr>
      </w:pPr>
      <w:r>
        <w:rPr>
          <w:rFonts w:ascii="宋体" w:hAnsi="宋体" w:eastAsia="宋体"/>
          <w:sz w:val="21"/>
          <w:szCs w:val="21"/>
        </w:rPr>
        <w:t>（1）裁量起点Y=（法定最低罚款数额/法定最高罚款数额）×100%；</w:t>
      </w:r>
    </w:p>
    <w:p>
      <w:pPr>
        <w:spacing w:line="240" w:lineRule="auto"/>
        <w:ind w:firstLine="420" w:firstLineChars="200"/>
        <w:rPr>
          <w:rFonts w:ascii="宋体" w:hAnsi="宋体" w:eastAsia="宋体"/>
          <w:sz w:val="21"/>
          <w:szCs w:val="21"/>
        </w:rPr>
      </w:pPr>
      <w:r>
        <w:rPr>
          <w:rFonts w:ascii="宋体" w:hAnsi="宋体" w:eastAsia="宋体"/>
          <w:sz w:val="21"/>
          <w:szCs w:val="21"/>
        </w:rPr>
        <w:t>（2）如涉及到按照所收费用/货值金额/违法所得的倍数确定罚款的规定，裁量起点Y=（处罚最低倍数/处罚最高倍数）×100%；</w:t>
      </w:r>
    </w:p>
    <w:p>
      <w:pPr>
        <w:spacing w:line="240" w:lineRule="auto"/>
        <w:ind w:firstLine="420" w:firstLineChars="200"/>
        <w:rPr>
          <w:rFonts w:ascii="宋体" w:hAnsi="宋体" w:eastAsia="宋体"/>
          <w:sz w:val="21"/>
          <w:szCs w:val="21"/>
        </w:rPr>
      </w:pPr>
      <w:r>
        <w:rPr>
          <w:rFonts w:ascii="宋体" w:hAnsi="宋体" w:eastAsia="宋体"/>
          <w:sz w:val="21"/>
          <w:szCs w:val="21"/>
        </w:rPr>
        <w:t>（3）如未规定法定最低罚款金额的，裁量起点Y=（《中</w:t>
      </w:r>
      <w:r>
        <w:rPr>
          <w:rFonts w:hint="eastAsia" w:ascii="宋体" w:hAnsi="宋体" w:eastAsia="宋体"/>
          <w:sz w:val="21"/>
          <w:szCs w:val="21"/>
        </w:rPr>
        <w:t>华</w:t>
      </w:r>
      <w:r>
        <w:rPr>
          <w:rFonts w:ascii="宋体" w:hAnsi="宋体" w:eastAsia="宋体"/>
          <w:sz w:val="21"/>
          <w:szCs w:val="21"/>
        </w:rPr>
        <w:t>人民共和国行政处罚法》规定的简易程序对应最高罚款数额/法定最高罚款数额）×100%。</w:t>
      </w:r>
    </w:p>
    <w:p>
      <w:pPr>
        <w:spacing w:line="240" w:lineRule="auto"/>
        <w:ind w:firstLine="420" w:firstLineChars="200"/>
        <w:rPr>
          <w:rFonts w:ascii="宋体" w:hAnsi="宋体" w:eastAsia="宋体"/>
          <w:sz w:val="21"/>
          <w:szCs w:val="21"/>
        </w:rPr>
      </w:pPr>
      <w:r>
        <w:rPr>
          <w:rFonts w:hint="eastAsia" w:ascii="宋体" w:hAnsi="宋体" w:eastAsia="宋体"/>
          <w:sz w:val="21"/>
          <w:szCs w:val="21"/>
        </w:rPr>
        <w:t>2、</w:t>
      </w:r>
      <w:r>
        <w:rPr>
          <w:rFonts w:ascii="宋体" w:hAnsi="宋体" w:eastAsia="宋体"/>
          <w:sz w:val="21"/>
          <w:szCs w:val="21"/>
        </w:rPr>
        <w:t>本表的裁量计算方法如下：</w:t>
      </w:r>
    </w:p>
    <w:p>
      <w:pPr>
        <w:spacing w:line="240" w:lineRule="auto"/>
        <w:ind w:firstLine="420" w:firstLineChars="200"/>
        <w:rPr>
          <w:rFonts w:ascii="宋体" w:hAnsi="宋体" w:eastAsia="宋体"/>
          <w:sz w:val="21"/>
          <w:szCs w:val="21"/>
        </w:rPr>
      </w:pPr>
      <w:r>
        <w:rPr>
          <w:rFonts w:ascii="宋体" w:hAnsi="宋体" w:eastAsia="宋体"/>
          <w:sz w:val="21"/>
          <w:szCs w:val="21"/>
        </w:rPr>
        <w:t>（1）罚款金额=[Y+(裁量百分值累计之和)×(1-Y)]×法定最高罚款数额；</w:t>
      </w:r>
    </w:p>
    <w:p>
      <w:pPr>
        <w:spacing w:line="240" w:lineRule="auto"/>
        <w:ind w:firstLine="420" w:firstLineChars="200"/>
        <w:rPr>
          <w:rFonts w:ascii="宋体" w:hAnsi="宋体" w:eastAsia="宋体"/>
          <w:sz w:val="21"/>
          <w:szCs w:val="21"/>
        </w:rPr>
      </w:pPr>
      <w:r>
        <w:rPr>
          <w:rFonts w:ascii="宋体" w:hAnsi="宋体" w:eastAsia="宋体"/>
          <w:sz w:val="21"/>
          <w:szCs w:val="21"/>
        </w:rPr>
        <w:t>（2）如涉及到按照所收费用/货值金额/违法所得的倍数确定罚款的规定，裁量的计算方法：罚款金额＝所收费用/货值金额/违法所得×[Y+(裁量百分值累计之和)×(1-Y)]×处罚的最高倍数。</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highlight w:val="none"/>
        </w:rPr>
        <w:t>3、</w:t>
      </w:r>
      <w:r>
        <w:rPr>
          <w:rFonts w:ascii="宋体" w:hAnsi="宋体" w:eastAsia="宋体"/>
          <w:sz w:val="21"/>
          <w:szCs w:val="21"/>
          <w:lang w:bidi="ar"/>
        </w:rPr>
        <w:t>除专用裁量表所列出的情形外，其他违法情形均依据此表。</w:t>
      </w:r>
    </w:p>
    <w:p>
      <w:pPr>
        <w:spacing w:line="240" w:lineRule="auto"/>
        <w:ind w:firstLine="420" w:firstLineChars="200"/>
        <w:rPr>
          <w:rFonts w:ascii="宋体" w:hAnsi="宋体" w:eastAsia="宋体"/>
          <w:sz w:val="21"/>
          <w:szCs w:val="21"/>
          <w:lang w:bidi="ar"/>
        </w:rPr>
      </w:pPr>
      <w:r>
        <w:rPr>
          <w:rFonts w:hint="eastAsia" w:ascii="宋体" w:hAnsi="宋体" w:eastAsia="宋体"/>
          <w:sz w:val="21"/>
          <w:szCs w:val="21"/>
          <w:lang w:val="en-US" w:eastAsia="zh-CN" w:bidi="ar"/>
        </w:rPr>
        <w:t>4</w:t>
      </w:r>
      <w:r>
        <w:rPr>
          <w:rFonts w:hint="eastAsia" w:ascii="宋体" w:hAnsi="宋体" w:eastAsia="宋体"/>
          <w:sz w:val="21"/>
          <w:szCs w:val="21"/>
          <w:lang w:bidi="ar"/>
        </w:rPr>
        <w:t>、违法行为发生</w:t>
      </w:r>
      <w:r>
        <w:rPr>
          <w:rFonts w:ascii="宋体" w:hAnsi="宋体" w:eastAsia="宋体"/>
          <w:sz w:val="21"/>
          <w:szCs w:val="21"/>
          <w:lang w:bidi="ar"/>
        </w:rPr>
        <w:t>地点出现以下情形的，按照如下规则进行裁量：</w:t>
      </w:r>
    </w:p>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（1）自然保护地未纳入生态保护红线区域的，按照自然保护地一般控制区进行裁量；</w:t>
      </w:r>
    </w:p>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2）饮用水水源准水源保护区纳入生态保护红线区域的，按照在生态保护红线区域内（除自然保护地核心保护区外）进行裁量；饮用水水源准水源保护区未纳入生态保护红线区域的，按照在生态保护红线区域外进行裁量；</w:t>
      </w:r>
    </w:p>
    <w:p>
      <w:pPr>
        <w:spacing w:line="240" w:lineRule="auto"/>
        <w:ind w:firstLine="420" w:firstLineChars="200"/>
        <w:rPr>
          <w:rFonts w:ascii="宋体" w:hAnsi="宋体" w:eastAsia="宋体"/>
          <w:sz w:val="21"/>
          <w:szCs w:val="21"/>
          <w:lang w:bidi="ar"/>
        </w:rPr>
      </w:pPr>
      <w:r>
        <w:rPr>
          <w:rFonts w:ascii="宋体" w:hAnsi="宋体" w:eastAsia="宋体"/>
          <w:sz w:val="21"/>
          <w:szCs w:val="21"/>
          <w:lang w:bidi="ar"/>
        </w:rPr>
        <w:t>（3）</w:t>
      </w:r>
      <w:r>
        <w:rPr>
          <w:rFonts w:hint="eastAsia" w:ascii="宋体" w:hAnsi="宋体" w:eastAsia="宋体"/>
          <w:sz w:val="21"/>
          <w:szCs w:val="21"/>
          <w:lang w:bidi="ar"/>
        </w:rPr>
        <w:t>违法行为发生</w:t>
      </w:r>
      <w:r>
        <w:rPr>
          <w:rFonts w:ascii="宋体" w:hAnsi="宋体" w:eastAsia="宋体"/>
          <w:sz w:val="21"/>
          <w:szCs w:val="21"/>
          <w:lang w:bidi="ar"/>
        </w:rPr>
        <w:t>地点如同时满足不同分类要求的，选择裁量百分值较重的类别进行裁量。</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5</w:t>
      </w:r>
      <w:r>
        <w:rPr>
          <w:rFonts w:hint="eastAsia" w:ascii="宋体" w:hAnsi="宋体" w:eastAsia="宋体"/>
          <w:sz w:val="21"/>
          <w:szCs w:val="21"/>
          <w:lang w:bidi="ar"/>
        </w:rPr>
        <w:t>、</w:t>
      </w:r>
      <w:r>
        <w:rPr>
          <w:rFonts w:ascii="宋体" w:hAnsi="宋体" w:eastAsia="宋体"/>
          <w:sz w:val="21"/>
          <w:szCs w:val="21"/>
          <w:lang w:bidi="ar"/>
        </w:rPr>
        <w:t>本表所称的“以上”包括本数，“不足”不包括本数。</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rPr>
        <w:t>6</w:t>
      </w:r>
      <w:r>
        <w:rPr>
          <w:rFonts w:hint="eastAsia" w:ascii="宋体" w:hAnsi="宋体" w:eastAsia="宋体"/>
          <w:sz w:val="21"/>
          <w:szCs w:val="21"/>
        </w:rPr>
        <w:t>、</w:t>
      </w:r>
      <w:r>
        <w:rPr>
          <w:rFonts w:ascii="宋体" w:hAnsi="宋体" w:eastAsia="宋体"/>
          <w:sz w:val="21"/>
          <w:szCs w:val="21"/>
        </w:rPr>
        <w:t>环境违法次数（两年内、含本次）指</w:t>
      </w:r>
      <w:r>
        <w:rPr>
          <w:rFonts w:hint="eastAsia" w:ascii="宋体" w:hAnsi="宋体" w:eastAsia="宋体"/>
          <w:sz w:val="21"/>
          <w:szCs w:val="21"/>
          <w:lang w:eastAsia="zh-CN"/>
        </w:rPr>
        <w:t>当事人</w:t>
      </w:r>
      <w:r>
        <w:rPr>
          <w:rFonts w:ascii="宋体" w:hAnsi="宋体" w:eastAsia="宋体"/>
          <w:sz w:val="21"/>
          <w:szCs w:val="21"/>
        </w:rPr>
        <w:t>自发现本次违法行为之日（不包含本日）起向前追溯两年发生的环境违法行为次数。对同一</w:t>
      </w:r>
      <w:r>
        <w:rPr>
          <w:rFonts w:hint="eastAsia" w:ascii="宋体" w:hAnsi="宋体" w:eastAsia="宋体"/>
          <w:sz w:val="21"/>
          <w:szCs w:val="21"/>
          <w:lang w:eastAsia="zh-CN"/>
        </w:rPr>
        <w:t>当事人</w:t>
      </w:r>
      <w:r>
        <w:rPr>
          <w:rFonts w:ascii="宋体" w:hAnsi="宋体" w:eastAsia="宋体"/>
          <w:sz w:val="21"/>
          <w:szCs w:val="21"/>
        </w:rPr>
        <w:t>的两个或者两个以上环境违法行为，如列入同一行政处罚决定书的，按照实际违法次数计算。</w:t>
      </w:r>
    </w:p>
    <w:p>
      <w:pPr>
        <w:spacing w:line="240" w:lineRule="auto"/>
        <w:ind w:firstLine="420" w:firstLineChars="200"/>
        <w:rPr>
          <w:rFonts w:ascii="宋体" w:hAnsi="宋体" w:eastAsia="宋体"/>
          <w:sz w:val="21"/>
          <w:szCs w:val="21"/>
        </w:rPr>
      </w:pPr>
      <w:r>
        <w:rPr>
          <w:rFonts w:hint="eastAsia" w:ascii="宋体" w:hAnsi="宋体" w:eastAsia="宋体"/>
          <w:sz w:val="21"/>
          <w:szCs w:val="21"/>
          <w:lang w:val="en-US" w:eastAsia="zh-CN" w:bidi="ar"/>
        </w:rPr>
        <w:t>7</w:t>
      </w:r>
      <w:r>
        <w:rPr>
          <w:rFonts w:hint="eastAsia" w:ascii="宋体" w:hAnsi="宋体" w:eastAsia="宋体"/>
          <w:sz w:val="21"/>
          <w:szCs w:val="21"/>
          <w:lang w:bidi="ar"/>
        </w:rPr>
        <w:t>、</w:t>
      </w:r>
      <w:r>
        <w:rPr>
          <w:rFonts w:ascii="宋体" w:hAnsi="宋体" w:eastAsia="宋体"/>
          <w:sz w:val="21"/>
          <w:szCs w:val="21"/>
          <w:lang w:bidi="ar"/>
        </w:rPr>
        <w:t>对周边居民、单位等造成的不良影响（一年内）是指</w:t>
      </w:r>
      <w:r>
        <w:rPr>
          <w:rFonts w:hint="eastAsia" w:ascii="宋体" w:hAnsi="宋体" w:eastAsia="宋体"/>
          <w:sz w:val="21"/>
          <w:szCs w:val="21"/>
          <w:lang w:eastAsia="zh-CN" w:bidi="ar"/>
        </w:rPr>
        <w:t>当事人</w:t>
      </w:r>
      <w:r>
        <w:rPr>
          <w:rFonts w:ascii="宋体" w:hAnsi="宋体" w:eastAsia="宋体"/>
          <w:sz w:val="21"/>
          <w:szCs w:val="21"/>
          <w:lang w:bidi="ar"/>
        </w:rPr>
        <w:t>自发现本次违法行为之日（不包含本日）起向前追溯一年发生的投诉且经核实的情况。</w:t>
      </w:r>
    </w:p>
    <w:p>
      <w:pPr>
        <w:spacing w:line="240" w:lineRule="auto"/>
        <w:ind w:firstLine="420" w:firstLineChars="200"/>
        <w:sectPr>
          <w:footerReference r:id="rId5"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sz w:val="21"/>
          <w:szCs w:val="21"/>
          <w:lang w:val="en-US" w:eastAsia="zh-CN" w:bidi="ar"/>
        </w:rPr>
        <w:t>8</w:t>
      </w:r>
      <w:r>
        <w:rPr>
          <w:rFonts w:hint="eastAsia" w:ascii="宋体" w:hAnsi="宋体" w:eastAsia="宋体"/>
          <w:sz w:val="21"/>
          <w:szCs w:val="21"/>
          <w:lang w:bidi="ar"/>
        </w:rPr>
        <w:t>、</w:t>
      </w:r>
      <w:r>
        <w:rPr>
          <w:rFonts w:ascii="宋体" w:hAnsi="宋体" w:eastAsia="宋体"/>
          <w:sz w:val="21"/>
          <w:szCs w:val="21"/>
          <w:lang w:bidi="ar"/>
        </w:rPr>
        <w:t>法律法规等有其他规定的，从其规定。</w:t>
      </w:r>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8" w:usb3="00000000" w:csb0="400001FF" w:csb1="FFFF0000"/>
  </w:font>
  <w:font w:name="宋体">
    <w:altName w:val="方正书宋_GBK"/>
    <w:panose1 w:val="02010600030101010101"/>
    <w:charset w:val="7A"/>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4"/>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6267D0"/>
    <w:multiLevelType w:val="singleLevel"/>
    <w:tmpl w:val="AB6267D0"/>
    <w:lvl w:ilvl="0" w:tentative="0">
      <w:start w:val="2"/>
      <w:numFmt w:val="decimal"/>
      <w:suff w:val="nothing"/>
      <w:lvlText w:val="%1、"/>
      <w:lvlJc w:val="left"/>
    </w:lvl>
  </w:abstractNum>
  <w:abstractNum w:abstractNumId="1">
    <w:nsid w:val="07629143"/>
    <w:multiLevelType w:val="singleLevel"/>
    <w:tmpl w:val="07629143"/>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7B85"/>
    <w:rsid w:val="000D5817"/>
    <w:rsid w:val="011A61D2"/>
    <w:rsid w:val="01D31A75"/>
    <w:rsid w:val="01DF04A3"/>
    <w:rsid w:val="0233053C"/>
    <w:rsid w:val="03086D2A"/>
    <w:rsid w:val="035B7461"/>
    <w:rsid w:val="04045103"/>
    <w:rsid w:val="04143E5D"/>
    <w:rsid w:val="04225DF3"/>
    <w:rsid w:val="04C37847"/>
    <w:rsid w:val="054F0316"/>
    <w:rsid w:val="06326F89"/>
    <w:rsid w:val="06574C17"/>
    <w:rsid w:val="06815B31"/>
    <w:rsid w:val="06D82FF2"/>
    <w:rsid w:val="07BB09B6"/>
    <w:rsid w:val="080717BD"/>
    <w:rsid w:val="082C721E"/>
    <w:rsid w:val="090B4052"/>
    <w:rsid w:val="09DA62FB"/>
    <w:rsid w:val="0A677DF8"/>
    <w:rsid w:val="0AF3601D"/>
    <w:rsid w:val="0B1955B3"/>
    <w:rsid w:val="0B6056E6"/>
    <w:rsid w:val="0BDA3700"/>
    <w:rsid w:val="0BDF3164"/>
    <w:rsid w:val="0BF40D7F"/>
    <w:rsid w:val="0C7A2250"/>
    <w:rsid w:val="0CA522A7"/>
    <w:rsid w:val="0D4C709B"/>
    <w:rsid w:val="0D6969AF"/>
    <w:rsid w:val="0DD51AD7"/>
    <w:rsid w:val="0DD7583F"/>
    <w:rsid w:val="0DFA7DA0"/>
    <w:rsid w:val="0E856030"/>
    <w:rsid w:val="0F034EAE"/>
    <w:rsid w:val="0FF054D7"/>
    <w:rsid w:val="101167E2"/>
    <w:rsid w:val="1058366A"/>
    <w:rsid w:val="10EC08E0"/>
    <w:rsid w:val="10F7143E"/>
    <w:rsid w:val="11532324"/>
    <w:rsid w:val="11863D5C"/>
    <w:rsid w:val="11BE6598"/>
    <w:rsid w:val="124C07E4"/>
    <w:rsid w:val="132D2035"/>
    <w:rsid w:val="13536587"/>
    <w:rsid w:val="13FE26F2"/>
    <w:rsid w:val="15AC741A"/>
    <w:rsid w:val="16756A94"/>
    <w:rsid w:val="16CB212D"/>
    <w:rsid w:val="17D8337C"/>
    <w:rsid w:val="17E405B1"/>
    <w:rsid w:val="18BF15B6"/>
    <w:rsid w:val="19261A4F"/>
    <w:rsid w:val="195F2A42"/>
    <w:rsid w:val="19A71BC3"/>
    <w:rsid w:val="19EB0E44"/>
    <w:rsid w:val="19F30A7D"/>
    <w:rsid w:val="19FC7277"/>
    <w:rsid w:val="1A643F89"/>
    <w:rsid w:val="1A926E85"/>
    <w:rsid w:val="1B0771DD"/>
    <w:rsid w:val="1B4053B3"/>
    <w:rsid w:val="1B804461"/>
    <w:rsid w:val="1C66765F"/>
    <w:rsid w:val="1D0306E5"/>
    <w:rsid w:val="1D194CD6"/>
    <w:rsid w:val="1D1A0298"/>
    <w:rsid w:val="1DA7724C"/>
    <w:rsid w:val="1DC67B83"/>
    <w:rsid w:val="1DE61FD0"/>
    <w:rsid w:val="1E0E6C6F"/>
    <w:rsid w:val="1EB3409F"/>
    <w:rsid w:val="1ED71685"/>
    <w:rsid w:val="1F483E5A"/>
    <w:rsid w:val="1F912878"/>
    <w:rsid w:val="1FB67DB9"/>
    <w:rsid w:val="1FEC5499"/>
    <w:rsid w:val="20084BED"/>
    <w:rsid w:val="20202E60"/>
    <w:rsid w:val="20AF7A1B"/>
    <w:rsid w:val="20F92FFB"/>
    <w:rsid w:val="210D5B27"/>
    <w:rsid w:val="211C6B80"/>
    <w:rsid w:val="21762525"/>
    <w:rsid w:val="2368644A"/>
    <w:rsid w:val="2397418E"/>
    <w:rsid w:val="23AE6C59"/>
    <w:rsid w:val="23FC0FDD"/>
    <w:rsid w:val="24861B18"/>
    <w:rsid w:val="24D705FB"/>
    <w:rsid w:val="25172DC4"/>
    <w:rsid w:val="254D088A"/>
    <w:rsid w:val="25C40CFF"/>
    <w:rsid w:val="2617270D"/>
    <w:rsid w:val="26252E36"/>
    <w:rsid w:val="264F0C2D"/>
    <w:rsid w:val="26506A6B"/>
    <w:rsid w:val="26E13237"/>
    <w:rsid w:val="284D1858"/>
    <w:rsid w:val="28704870"/>
    <w:rsid w:val="287C4D97"/>
    <w:rsid w:val="28896277"/>
    <w:rsid w:val="28F22A89"/>
    <w:rsid w:val="28FF090A"/>
    <w:rsid w:val="291D4532"/>
    <w:rsid w:val="29621975"/>
    <w:rsid w:val="29D540A2"/>
    <w:rsid w:val="29F851F3"/>
    <w:rsid w:val="2A0C1761"/>
    <w:rsid w:val="2A405976"/>
    <w:rsid w:val="2A455ED8"/>
    <w:rsid w:val="2A5E151F"/>
    <w:rsid w:val="2AB71131"/>
    <w:rsid w:val="2AD338FB"/>
    <w:rsid w:val="2B4E70EC"/>
    <w:rsid w:val="2B7768B1"/>
    <w:rsid w:val="2CAB016E"/>
    <w:rsid w:val="2CB75AB6"/>
    <w:rsid w:val="2CEE7CBA"/>
    <w:rsid w:val="2E31132A"/>
    <w:rsid w:val="2E4B3AC4"/>
    <w:rsid w:val="2ED65C84"/>
    <w:rsid w:val="2F5C341C"/>
    <w:rsid w:val="308C24F1"/>
    <w:rsid w:val="30AF450F"/>
    <w:rsid w:val="31392C7C"/>
    <w:rsid w:val="31561AA6"/>
    <w:rsid w:val="31705032"/>
    <w:rsid w:val="31A66621"/>
    <w:rsid w:val="31F15B15"/>
    <w:rsid w:val="32476335"/>
    <w:rsid w:val="32A058AB"/>
    <w:rsid w:val="330068D0"/>
    <w:rsid w:val="3373478C"/>
    <w:rsid w:val="33B87B1F"/>
    <w:rsid w:val="344A7B27"/>
    <w:rsid w:val="344C3D10"/>
    <w:rsid w:val="347A1ADB"/>
    <w:rsid w:val="34C70E7B"/>
    <w:rsid w:val="34D2202B"/>
    <w:rsid w:val="35CC1AA1"/>
    <w:rsid w:val="35F1069D"/>
    <w:rsid w:val="369453B5"/>
    <w:rsid w:val="36F151BA"/>
    <w:rsid w:val="37136BEC"/>
    <w:rsid w:val="378D3828"/>
    <w:rsid w:val="382002AA"/>
    <w:rsid w:val="38CA441C"/>
    <w:rsid w:val="390527F1"/>
    <w:rsid w:val="39FC5751"/>
    <w:rsid w:val="3BF80E8F"/>
    <w:rsid w:val="3C935FBF"/>
    <w:rsid w:val="3CA66AA0"/>
    <w:rsid w:val="3D2E7D96"/>
    <w:rsid w:val="3E243D05"/>
    <w:rsid w:val="3E410DBD"/>
    <w:rsid w:val="3E474707"/>
    <w:rsid w:val="3E983C82"/>
    <w:rsid w:val="3EC95D24"/>
    <w:rsid w:val="3EFB6930"/>
    <w:rsid w:val="4042150B"/>
    <w:rsid w:val="404E6570"/>
    <w:rsid w:val="40804336"/>
    <w:rsid w:val="40CE41FC"/>
    <w:rsid w:val="40EC042E"/>
    <w:rsid w:val="413E5273"/>
    <w:rsid w:val="41635B90"/>
    <w:rsid w:val="41781450"/>
    <w:rsid w:val="41E775D2"/>
    <w:rsid w:val="4344017F"/>
    <w:rsid w:val="438C6D5A"/>
    <w:rsid w:val="45124846"/>
    <w:rsid w:val="4557109E"/>
    <w:rsid w:val="463375BE"/>
    <w:rsid w:val="46AD0292"/>
    <w:rsid w:val="46AD0649"/>
    <w:rsid w:val="46EF463A"/>
    <w:rsid w:val="4702232D"/>
    <w:rsid w:val="472809AC"/>
    <w:rsid w:val="474316FB"/>
    <w:rsid w:val="479474CB"/>
    <w:rsid w:val="47B264C2"/>
    <w:rsid w:val="47F06D61"/>
    <w:rsid w:val="48562488"/>
    <w:rsid w:val="48993B61"/>
    <w:rsid w:val="48CC3EB6"/>
    <w:rsid w:val="49410E2B"/>
    <w:rsid w:val="49C44645"/>
    <w:rsid w:val="4BD36FED"/>
    <w:rsid w:val="4CA70597"/>
    <w:rsid w:val="4D303E6A"/>
    <w:rsid w:val="4E405083"/>
    <w:rsid w:val="4EE7630E"/>
    <w:rsid w:val="4F2634F7"/>
    <w:rsid w:val="5168626F"/>
    <w:rsid w:val="518E4DFC"/>
    <w:rsid w:val="523B3BEA"/>
    <w:rsid w:val="524D7462"/>
    <w:rsid w:val="52725922"/>
    <w:rsid w:val="52906811"/>
    <w:rsid w:val="52A6110E"/>
    <w:rsid w:val="53143E53"/>
    <w:rsid w:val="540E7E6A"/>
    <w:rsid w:val="54313A43"/>
    <w:rsid w:val="54877A00"/>
    <w:rsid w:val="56021880"/>
    <w:rsid w:val="57173E44"/>
    <w:rsid w:val="571B7F61"/>
    <w:rsid w:val="57305BDB"/>
    <w:rsid w:val="577D5B85"/>
    <w:rsid w:val="585D2D37"/>
    <w:rsid w:val="58D510D2"/>
    <w:rsid w:val="596B1898"/>
    <w:rsid w:val="59CA37BB"/>
    <w:rsid w:val="59DC0648"/>
    <w:rsid w:val="5C9417E0"/>
    <w:rsid w:val="5D3F3E50"/>
    <w:rsid w:val="5E331279"/>
    <w:rsid w:val="5EC308E0"/>
    <w:rsid w:val="5EC502B0"/>
    <w:rsid w:val="5FCF3964"/>
    <w:rsid w:val="5FD636D2"/>
    <w:rsid w:val="602550E3"/>
    <w:rsid w:val="60C00D6F"/>
    <w:rsid w:val="614F435A"/>
    <w:rsid w:val="625E5432"/>
    <w:rsid w:val="62902B3B"/>
    <w:rsid w:val="629C4F08"/>
    <w:rsid w:val="62B3548B"/>
    <w:rsid w:val="634F077D"/>
    <w:rsid w:val="63642B32"/>
    <w:rsid w:val="64045672"/>
    <w:rsid w:val="64282C56"/>
    <w:rsid w:val="64854D18"/>
    <w:rsid w:val="649B0C44"/>
    <w:rsid w:val="653A7DE6"/>
    <w:rsid w:val="672C0646"/>
    <w:rsid w:val="68D8587A"/>
    <w:rsid w:val="68EC14C9"/>
    <w:rsid w:val="694A16F5"/>
    <w:rsid w:val="69A23612"/>
    <w:rsid w:val="69A85885"/>
    <w:rsid w:val="6AD17A22"/>
    <w:rsid w:val="6B3B2335"/>
    <w:rsid w:val="6BFD00A4"/>
    <w:rsid w:val="6DEE41B1"/>
    <w:rsid w:val="6E2F5234"/>
    <w:rsid w:val="6E340B17"/>
    <w:rsid w:val="6F022BC8"/>
    <w:rsid w:val="6F3E0DA9"/>
    <w:rsid w:val="6F8276AB"/>
    <w:rsid w:val="6F8363C3"/>
    <w:rsid w:val="6F9F0091"/>
    <w:rsid w:val="6FB86B3C"/>
    <w:rsid w:val="6FF04591"/>
    <w:rsid w:val="7054306B"/>
    <w:rsid w:val="706A320B"/>
    <w:rsid w:val="70C7107D"/>
    <w:rsid w:val="70E134F9"/>
    <w:rsid w:val="711220E5"/>
    <w:rsid w:val="71702EAC"/>
    <w:rsid w:val="71912DB1"/>
    <w:rsid w:val="719F28AF"/>
    <w:rsid w:val="72CA523B"/>
    <w:rsid w:val="732B7989"/>
    <w:rsid w:val="733C6485"/>
    <w:rsid w:val="734E2F6E"/>
    <w:rsid w:val="73A30899"/>
    <w:rsid w:val="73AA4612"/>
    <w:rsid w:val="748D17BD"/>
    <w:rsid w:val="74CD6C33"/>
    <w:rsid w:val="75C10A4A"/>
    <w:rsid w:val="75E20450"/>
    <w:rsid w:val="76361535"/>
    <w:rsid w:val="776E07DC"/>
    <w:rsid w:val="789258F2"/>
    <w:rsid w:val="78A07986"/>
    <w:rsid w:val="78A924C9"/>
    <w:rsid w:val="78CC4577"/>
    <w:rsid w:val="7A0403AA"/>
    <w:rsid w:val="7A1B7086"/>
    <w:rsid w:val="7A340098"/>
    <w:rsid w:val="7A352CA9"/>
    <w:rsid w:val="7A79225F"/>
    <w:rsid w:val="7AEA248C"/>
    <w:rsid w:val="7B9F4087"/>
    <w:rsid w:val="7BA44AC6"/>
    <w:rsid w:val="7BB839B5"/>
    <w:rsid w:val="7BD50B85"/>
    <w:rsid w:val="7BE31070"/>
    <w:rsid w:val="7D527730"/>
    <w:rsid w:val="7EAA28D5"/>
    <w:rsid w:val="7EC73BF2"/>
    <w:rsid w:val="7F115A3C"/>
    <w:rsid w:val="7F881576"/>
    <w:rsid w:val="7FC9C6C8"/>
    <w:rsid w:val="7FEDB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Times New Roman" w:hAnsi="Times New Roman"/>
      <w:color w:val="000000"/>
      <w:kern w:val="0"/>
      <w:sz w:val="24"/>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1">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customStyle="1" w:styleId="12">
    <w:name w:val="标题2"/>
    <w:basedOn w:val="1"/>
    <w:next w:val="1"/>
    <w:qFormat/>
    <w:uiPriority w:val="0"/>
    <w:pPr>
      <w:ind w:firstLine="0"/>
      <w:jc w:val="center"/>
    </w:pPr>
    <w:rPr>
      <w:rFonts w:eastAsia="方正楷体_GBK"/>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455</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2020-12-16T00:43:00Z</dcterms:created>
  <dc:creator>86134</dc:creator>
  <cp:lastModifiedBy>kylin</cp:lastModifiedBy>
  <cp:lastPrinted>2022-03-01T09:11:00Z</cp:lastPrinted>
  <dcterms:modified xsi:type="dcterms:W3CDTF">2022-07-27T19:21:27Z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575585B87EBC4C4ABFF232B074DD5845</vt:lpwstr>
  </property>
</Properties>
</file>