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b/>
          <w:bCs/>
          <w:color w:val="333333"/>
          <w:sz w:val="45"/>
          <w:szCs w:val="45"/>
        </w:rPr>
      </w:pPr>
      <w:r>
        <w:rPr>
          <w:b/>
          <w:bCs/>
          <w:i w:val="0"/>
          <w:iCs w:val="0"/>
          <w:caps w:val="0"/>
          <w:color w:val="333333"/>
          <w:spacing w:val="0"/>
          <w:sz w:val="45"/>
          <w:szCs w:val="45"/>
        </w:rPr>
        <w:t>信访局2019年度整体支出绩效自评报告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/>
        <w:jc w:val="center"/>
        <w:rPr>
          <w:rFonts w:hint="default" w:ascii="Times New Roman" w:hAnsi="Times New Roman" w:cs="Times New Roman"/>
          <w:color w:val="3D3D3D"/>
          <w:sz w:val="21"/>
          <w:szCs w:val="21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jc w:val="both"/>
        <w:rPr>
          <w:rFonts w:hint="default" w:ascii="Times New Roman" w:hAnsi="Times New Roman" w:cs="Times New Roman"/>
          <w:color w:val="3D3D3D"/>
          <w:sz w:val="21"/>
          <w:szCs w:val="21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3D3D3D"/>
          <w:spacing w:val="0"/>
          <w:sz w:val="21"/>
          <w:szCs w:val="21"/>
        </w:rPr>
        <w:t>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jc w:val="both"/>
        <w:rPr>
          <w:rFonts w:hint="default" w:ascii="Times New Roman" w:hAnsi="Times New Roman" w:cs="Times New Roman"/>
          <w:color w:val="3D3D3D"/>
          <w:sz w:val="21"/>
          <w:szCs w:val="21"/>
        </w:rPr>
      </w:pPr>
      <w:r>
        <w:rPr>
          <w:rFonts w:ascii="黑体" w:hAnsi="宋体" w:eastAsia="黑体" w:cs="黑体"/>
          <w:i w:val="0"/>
          <w:iCs w:val="0"/>
          <w:caps w:val="0"/>
          <w:color w:val="3D3D3D"/>
          <w:spacing w:val="0"/>
          <w:sz w:val="32"/>
          <w:szCs w:val="32"/>
        </w:rPr>
        <w:t>一、部门概况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jc w:val="both"/>
        <w:rPr>
          <w:rFonts w:hint="default" w:ascii="Times New Roman" w:hAnsi="Times New Roman" w:cs="Times New Roman"/>
          <w:color w:val="3D3D3D"/>
          <w:sz w:val="21"/>
          <w:szCs w:val="21"/>
        </w:rPr>
      </w:pPr>
      <w:r>
        <w:rPr>
          <w:rFonts w:ascii="楷体" w:hAnsi="楷体" w:eastAsia="楷体" w:cs="楷体"/>
          <w:b/>
          <w:bCs/>
          <w:i w:val="0"/>
          <w:iCs w:val="0"/>
          <w:caps w:val="0"/>
          <w:color w:val="3D3D3D"/>
          <w:spacing w:val="0"/>
          <w:sz w:val="32"/>
          <w:szCs w:val="32"/>
        </w:rPr>
        <w:t>（一）基本情况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jc w:val="both"/>
        <w:rPr>
          <w:rFonts w:hint="default" w:ascii="Times New Roman" w:hAnsi="Times New Roman" w:cs="Times New Roman"/>
          <w:color w:val="3D3D3D"/>
          <w:sz w:val="21"/>
          <w:szCs w:val="21"/>
        </w:rPr>
      </w:pPr>
      <w:r>
        <w:rPr>
          <w:rFonts w:ascii="仿宋_GB2312" w:hAnsi="仿宋" w:eastAsia="仿宋_GB2312" w:cs="仿宋_GB2312"/>
          <w:i w:val="0"/>
          <w:iCs w:val="0"/>
          <w:caps w:val="0"/>
          <w:color w:val="3D3D3D"/>
          <w:spacing w:val="0"/>
          <w:sz w:val="32"/>
          <w:szCs w:val="32"/>
        </w:rPr>
        <w:t>信访局系财政全额拨款行政单位。核定编制</w:t>
      </w:r>
      <w:r>
        <w:rPr>
          <w:rFonts w:hint="eastAsia" w:ascii="仿宋" w:hAnsi="仿宋" w:eastAsia="仿宋" w:cs="仿宋"/>
          <w:i w:val="0"/>
          <w:iCs w:val="0"/>
          <w:caps w:val="0"/>
          <w:color w:val="3D3D3D"/>
          <w:spacing w:val="0"/>
          <w:sz w:val="32"/>
          <w:szCs w:val="32"/>
        </w:rPr>
        <w:t>14人。实有在职人员11人，离退休人员4人。内设信访复查复核办、信访突出问题集中处理中心2个职能股室。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jc w:val="both"/>
        <w:rPr>
          <w:rFonts w:hint="default" w:ascii="Times New Roman" w:hAnsi="Times New Roman" w:cs="Times New Roman"/>
          <w:color w:val="3D3D3D"/>
          <w:sz w:val="21"/>
          <w:szCs w:val="21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3D3D3D"/>
          <w:spacing w:val="0"/>
          <w:sz w:val="32"/>
          <w:szCs w:val="32"/>
        </w:rPr>
        <w:t>其主要职责是：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jc w:val="both"/>
        <w:rPr>
          <w:rFonts w:hint="default" w:ascii="Times New Roman" w:hAnsi="Times New Roman" w:cs="Times New Roman"/>
          <w:color w:val="3D3D3D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D3D3D"/>
          <w:spacing w:val="0"/>
          <w:sz w:val="32"/>
          <w:szCs w:val="32"/>
        </w:rPr>
        <w:t>1、负责处理人民群众给市委、市政府的来信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3D3D3D"/>
          <w:spacing w:val="0"/>
          <w:sz w:val="32"/>
          <w:szCs w:val="32"/>
        </w:rPr>
        <w:t>，接待群众来访，为领导同志接待上访群众做好组织服务工作；综合分析信访信息，及时准确地向市委、市政府领导同志反映来信来访中提出的重要建议、意见和问题，保证信访渠道畅通。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jc w:val="both"/>
        <w:rPr>
          <w:rFonts w:hint="default" w:ascii="Times New Roman" w:hAnsi="Times New Roman" w:cs="Times New Roman"/>
          <w:color w:val="3D3D3D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D3D3D"/>
          <w:spacing w:val="0"/>
          <w:sz w:val="32"/>
          <w:szCs w:val="32"/>
        </w:rPr>
        <w:t>2、承办上级信访部门和市委、市政府领导同志交办的信访事项，督促检查领导同志批示件的落实情况；向乡镇和市直各部门交办信访事项，督促检查重要信访事项的处理和落实。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jc w:val="both"/>
        <w:rPr>
          <w:rFonts w:hint="default" w:ascii="Times New Roman" w:hAnsi="Times New Roman" w:cs="Times New Roman"/>
          <w:color w:val="3D3D3D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D3D3D"/>
          <w:spacing w:val="0"/>
          <w:sz w:val="32"/>
          <w:szCs w:val="32"/>
        </w:rPr>
        <w:t>3、协调处理跨部门的重大信访问题；协调处理群众集体上访和异常、突发性信访事件；督促、协调市直各部门和乡、街道办事处的信访工作。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jc w:val="both"/>
        <w:rPr>
          <w:rFonts w:hint="default" w:ascii="Times New Roman" w:hAnsi="Times New Roman" w:cs="Times New Roman"/>
          <w:color w:val="3D3D3D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D3D3D"/>
          <w:spacing w:val="0"/>
          <w:sz w:val="32"/>
          <w:szCs w:val="32"/>
        </w:rPr>
        <w:t>4、指导全市信访业务，总结推广信访工作经验，提出改进和加强信访工作的意见和建议。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jc w:val="both"/>
        <w:rPr>
          <w:rFonts w:hint="default" w:ascii="Times New Roman" w:hAnsi="Times New Roman" w:cs="Times New Roman"/>
          <w:color w:val="3D3D3D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D3D3D"/>
          <w:spacing w:val="0"/>
          <w:sz w:val="32"/>
          <w:szCs w:val="32"/>
        </w:rPr>
        <w:t>5、了解并掌握全市信访工作队伍建设情况，提出加强信访队伍建设措施；组织信访干部的培训；指导信访部门办公自动化建设。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jc w:val="both"/>
        <w:rPr>
          <w:rFonts w:hint="default" w:ascii="Times New Roman" w:hAnsi="Times New Roman" w:cs="Times New Roman"/>
          <w:color w:val="3D3D3D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D3D3D"/>
          <w:spacing w:val="0"/>
          <w:sz w:val="32"/>
          <w:szCs w:val="32"/>
        </w:rPr>
        <w:t>6、负责信访工作的调研、宣传和信息报送等工作。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jc w:val="both"/>
        <w:rPr>
          <w:rFonts w:hint="default" w:ascii="Times New Roman" w:hAnsi="Times New Roman" w:cs="Times New Roman"/>
          <w:color w:val="3D3D3D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D3D3D"/>
          <w:spacing w:val="0"/>
          <w:sz w:val="32"/>
          <w:szCs w:val="32"/>
        </w:rPr>
        <w:t>7、承办市委、市政府及市委办公室、市政府办公室交办的其它事项。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jc w:val="both"/>
        <w:rPr>
          <w:rFonts w:hint="default" w:ascii="Times New Roman" w:hAnsi="Times New Roman" w:cs="Times New Roman"/>
          <w:color w:val="3D3D3D"/>
          <w:sz w:val="21"/>
          <w:szCs w:val="21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3D3D3D"/>
          <w:spacing w:val="0"/>
          <w:sz w:val="32"/>
          <w:szCs w:val="32"/>
        </w:rPr>
        <w:t>（二）部门整体支出规模、使用方向、主要内容和涉及范围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/>
        <w:jc w:val="both"/>
        <w:rPr>
          <w:rFonts w:hint="default" w:ascii="Times New Roman" w:hAnsi="Times New Roman" w:cs="Times New Roman"/>
          <w:color w:val="3D3D3D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D3D3D"/>
          <w:spacing w:val="0"/>
          <w:sz w:val="32"/>
          <w:szCs w:val="32"/>
        </w:rPr>
        <w:t>    </w:t>
      </w:r>
      <w:r>
        <w:rPr>
          <w:rFonts w:hint="default" w:ascii="仿宋_GB2312" w:hAnsi="仿宋" w:eastAsia="仿宋_GB2312" w:cs="仿宋_GB2312"/>
          <w:i w:val="0"/>
          <w:iCs w:val="0"/>
          <w:caps w:val="0"/>
          <w:color w:val="3D3D3D"/>
          <w:spacing w:val="0"/>
          <w:sz w:val="32"/>
          <w:szCs w:val="32"/>
        </w:rPr>
        <w:t>部门支出的主要范围包括一般公共服务支出和社会保障和就业支出，涉及工作人员和退休人员工资、津补贴，各单位日常运转和维护、党的建设等方面。支出情况如下：全年财政支出</w:t>
      </w:r>
      <w:r>
        <w:rPr>
          <w:rFonts w:hint="eastAsia" w:ascii="仿宋" w:hAnsi="仿宋" w:eastAsia="仿宋" w:cs="仿宋"/>
          <w:i w:val="0"/>
          <w:iCs w:val="0"/>
          <w:caps w:val="0"/>
          <w:color w:val="3D3D3D"/>
          <w:spacing w:val="0"/>
          <w:sz w:val="32"/>
          <w:szCs w:val="32"/>
        </w:rPr>
        <w:t>276.12万元，</w:t>
      </w:r>
      <w:r>
        <w:rPr>
          <w:rFonts w:hint="default" w:ascii="仿宋_GB2312" w:hAnsi="仿宋" w:eastAsia="仿宋_GB2312" w:cs="仿宋_GB2312"/>
          <w:i w:val="0"/>
          <w:iCs w:val="0"/>
          <w:caps w:val="0"/>
          <w:color w:val="3D3D3D"/>
          <w:spacing w:val="0"/>
          <w:sz w:val="32"/>
          <w:szCs w:val="32"/>
        </w:rPr>
        <w:t>其中人员经费支出：</w:t>
      </w:r>
      <w:r>
        <w:rPr>
          <w:rFonts w:hint="eastAsia" w:ascii="仿宋" w:hAnsi="仿宋" w:eastAsia="仿宋" w:cs="仿宋"/>
          <w:i w:val="0"/>
          <w:iCs w:val="0"/>
          <w:caps w:val="0"/>
          <w:color w:val="3D3D3D"/>
          <w:spacing w:val="0"/>
          <w:sz w:val="32"/>
          <w:szCs w:val="32"/>
        </w:rPr>
        <w:t>170.88万元，日常公用经费支出105.24万元。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jc w:val="both"/>
        <w:rPr>
          <w:rFonts w:hint="default" w:ascii="Times New Roman" w:hAnsi="Times New Roman" w:cs="Times New Roman"/>
          <w:color w:val="3D3D3D"/>
          <w:sz w:val="21"/>
          <w:szCs w:val="21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D3D3D"/>
          <w:spacing w:val="0"/>
          <w:sz w:val="32"/>
          <w:szCs w:val="32"/>
        </w:rPr>
        <w:t>二、部门整体支出管理及使用情况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jc w:val="both"/>
        <w:rPr>
          <w:rFonts w:hint="default" w:ascii="Times New Roman" w:hAnsi="Times New Roman" w:cs="Times New Roman"/>
          <w:color w:val="3D3D3D"/>
          <w:sz w:val="21"/>
          <w:szCs w:val="21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3D3D3D"/>
          <w:spacing w:val="0"/>
          <w:sz w:val="32"/>
          <w:szCs w:val="32"/>
        </w:rPr>
        <w:t>（一）基本支出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jc w:val="both"/>
        <w:rPr>
          <w:rFonts w:hint="default" w:ascii="Times New Roman" w:hAnsi="Times New Roman" w:cs="Times New Roman"/>
          <w:color w:val="3D3D3D"/>
          <w:sz w:val="21"/>
          <w:szCs w:val="21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D3D3D"/>
          <w:spacing w:val="0"/>
          <w:sz w:val="32"/>
          <w:szCs w:val="32"/>
        </w:rPr>
        <w:t>1、基本支出主要用途及范围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jc w:val="both"/>
        <w:rPr>
          <w:rFonts w:hint="default" w:ascii="Times New Roman" w:hAnsi="Times New Roman" w:cs="Times New Roman"/>
          <w:color w:val="3D3D3D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D3D3D"/>
          <w:spacing w:val="0"/>
          <w:sz w:val="32"/>
          <w:szCs w:val="32"/>
        </w:rPr>
        <w:t>2019年基本支出276.12万元，</w:t>
      </w:r>
      <w:r>
        <w:rPr>
          <w:rFonts w:hint="default" w:ascii="仿宋_GB2312" w:hAnsi="仿宋" w:eastAsia="仿宋_GB2312" w:cs="仿宋_GB2312"/>
          <w:i w:val="0"/>
          <w:iCs w:val="0"/>
          <w:caps w:val="0"/>
          <w:color w:val="3D3D3D"/>
          <w:spacing w:val="0"/>
          <w:sz w:val="32"/>
          <w:szCs w:val="32"/>
        </w:rPr>
        <w:t>其中基本工资支出</w:t>
      </w:r>
      <w:r>
        <w:rPr>
          <w:rFonts w:hint="eastAsia" w:ascii="仿宋" w:hAnsi="仿宋" w:eastAsia="仿宋" w:cs="仿宋"/>
          <w:i w:val="0"/>
          <w:iCs w:val="0"/>
          <w:caps w:val="0"/>
          <w:color w:val="3D3D3D"/>
          <w:spacing w:val="0"/>
          <w:sz w:val="32"/>
          <w:szCs w:val="32"/>
        </w:rPr>
        <w:t>83.61万元，奖金支出39.59万元，基本养老保险缴费10.65万元，医保支出14.39万元，其他社会保障缴费0.6万元，住房公积金20.69万元，办公费47.93万元，水电费0.86万元，邮电费2.18万元，差旅费15.18万元，，维修费1.98万元，公务接待费1.1万元，工会经费5.1万元，其它商品服务支出30.9万元，生活补助1.39万元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480"/>
        <w:jc w:val="both"/>
        <w:rPr>
          <w:rFonts w:hint="default" w:ascii="Times New Roman" w:hAnsi="Times New Roman" w:cs="Times New Roman"/>
          <w:color w:val="3D3D3D"/>
          <w:sz w:val="21"/>
          <w:szCs w:val="21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D3D3D"/>
          <w:spacing w:val="0"/>
          <w:sz w:val="32"/>
          <w:szCs w:val="32"/>
        </w:rPr>
        <w:t> 2、基本支出管理情况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jc w:val="both"/>
        <w:rPr>
          <w:rFonts w:hint="default" w:ascii="Times New Roman" w:hAnsi="Times New Roman" w:cs="Times New Roman"/>
          <w:color w:val="3D3D3D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D3D3D"/>
          <w:spacing w:val="0"/>
          <w:sz w:val="32"/>
          <w:szCs w:val="32"/>
        </w:rPr>
        <w:t>①完善制度。根据《会计法》、《行政单位会计制度》等法律和财政部门有关文件的规定，先后制订了《公务接待管理制度》、《机关财务管理制度》、《机关干部下乡管理规定》、《会计人员岗位责任制度》、《预算绩效管理办法》、《公务卡结算管理细则》等各项规章制度，从制度进行规范，确保财经纪律落到实处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5"/>
        <w:jc w:val="both"/>
        <w:rPr>
          <w:rFonts w:hint="default" w:ascii="Times New Roman" w:hAnsi="Times New Roman" w:cs="Times New Roman"/>
          <w:color w:val="3D3D3D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D3D3D"/>
          <w:spacing w:val="0"/>
          <w:sz w:val="32"/>
          <w:szCs w:val="32"/>
        </w:rPr>
        <w:t>②严控“三公”经费规模。2019年公务接待费预算5万元，实际支出1.1万元。公务接待做到了“四严格”，即严格预算管理，规定接待经费严格控制在预算额度内使用；严格审批程序，规定了公务接待的审批权限；严格接待标准，规定住宿、用餐原则上安排在政府采购指定的公务接待定点宾馆或者机关食堂；严格报账，要求公务接待费用实行“一支笔”审批，严格执行先审批，后接待的程序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jc w:val="both"/>
        <w:rPr>
          <w:rFonts w:hint="default" w:ascii="Times New Roman" w:hAnsi="Times New Roman" w:cs="Times New Roman"/>
          <w:color w:val="3D3D3D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D3D3D"/>
          <w:spacing w:val="0"/>
          <w:sz w:val="32"/>
          <w:szCs w:val="32"/>
        </w:rPr>
        <w:t>③加强对公用支出中重点费用的管理。规范会议费、培训费、差旅费、办公费等费用开支标准，按照国家规定的标准和范围列支，控制会议培训的数量、规模，简化会议培训的形式；控制差旅活动的人数和天数，不安排无明确目的的公务考察活动；坚持厉行节约的原则，控制和压缩办公经费支出，树立节约观念，通过召开厉行节约、杜绝浪费会议，引导和规范全局工作人员从自身做起，从身边小事做起，倡导网络办公，促进办公低碳化，充分利用现在网络技术，通过邮箱、QQ、拷贝等方式传送普通文件资料，尽量减少文件印发。注重日常节俭，养成节约习惯，做到“人走灯灭”，下班及时关闭电脑、复印机等用电设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jc w:val="both"/>
        <w:rPr>
          <w:rFonts w:hint="default" w:ascii="Times New Roman" w:hAnsi="Times New Roman" w:cs="Times New Roman"/>
          <w:color w:val="3D3D3D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D3D3D"/>
          <w:spacing w:val="0"/>
          <w:sz w:val="32"/>
          <w:szCs w:val="32"/>
        </w:rPr>
        <w:t>④规范资金结算管理。经费报批实行"一支笔"审批制度。资金支付执行国库集中支付制度和公务卡结算有关规定，尽量采用银行转账或者公务卡结算方式，规范公务支出中的现金提取和使用，保证资金支付的安全、透明、规范，提高财政资金支付效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jc w:val="both"/>
        <w:rPr>
          <w:rFonts w:hint="default" w:ascii="Times New Roman" w:hAnsi="Times New Roman" w:cs="Times New Roman"/>
          <w:color w:val="3D3D3D"/>
          <w:sz w:val="21"/>
          <w:szCs w:val="21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D3D3D"/>
          <w:spacing w:val="0"/>
          <w:sz w:val="32"/>
          <w:szCs w:val="32"/>
        </w:rPr>
        <w:t>三、部门整体支出绩效情况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jc w:val="both"/>
        <w:rPr>
          <w:rFonts w:hint="default" w:ascii="Times New Roman" w:hAnsi="Times New Roman" w:cs="Times New Roman"/>
          <w:color w:val="3D3D3D"/>
          <w:sz w:val="21"/>
          <w:szCs w:val="21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3D3D3D"/>
          <w:spacing w:val="0"/>
          <w:sz w:val="32"/>
          <w:szCs w:val="32"/>
        </w:rPr>
        <w:t>通过加强预算收支管理，不断建立健全内部管理制度，梳理内部管理流程，部门整体支出管理情况得到提升。根据《部门整体支出绩效评价指标》评分，得分</w:t>
      </w:r>
      <w:r>
        <w:rPr>
          <w:rFonts w:hint="eastAsia" w:ascii="仿宋" w:hAnsi="仿宋" w:eastAsia="仿宋" w:cs="仿宋"/>
          <w:i w:val="0"/>
          <w:iCs w:val="0"/>
          <w:caps w:val="0"/>
          <w:color w:val="3D3D3D"/>
          <w:spacing w:val="0"/>
          <w:sz w:val="32"/>
          <w:szCs w:val="32"/>
        </w:rPr>
        <w:t>94分。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jc w:val="both"/>
        <w:rPr>
          <w:rFonts w:hint="default" w:ascii="Times New Roman" w:hAnsi="Times New Roman" w:cs="Times New Roman"/>
          <w:color w:val="3D3D3D"/>
          <w:sz w:val="21"/>
          <w:szCs w:val="21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3D3D3D"/>
          <w:spacing w:val="0"/>
          <w:sz w:val="32"/>
          <w:szCs w:val="32"/>
        </w:rPr>
        <w:t>（一）经济性分析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jc w:val="both"/>
        <w:rPr>
          <w:rFonts w:hint="default" w:ascii="Times New Roman" w:hAnsi="Times New Roman" w:cs="Times New Roman"/>
          <w:color w:val="3D3D3D"/>
          <w:sz w:val="21"/>
          <w:szCs w:val="21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3D3D3D"/>
          <w:spacing w:val="0"/>
          <w:sz w:val="32"/>
          <w:szCs w:val="32"/>
        </w:rPr>
        <w:t>支出严格依照相关财务管理规定执行，特别重视量财办事、量力而行，严格控制标准、注重节约，少花钱办好事。一来年，我局各项支出都在合理范围内，部分项目支出因加强管理与以前年度相比大幅度下降。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jc w:val="both"/>
        <w:rPr>
          <w:rFonts w:hint="default" w:ascii="Times New Roman" w:hAnsi="Times New Roman" w:cs="Times New Roman"/>
          <w:color w:val="3D3D3D"/>
          <w:sz w:val="21"/>
          <w:szCs w:val="21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3D3D3D"/>
          <w:spacing w:val="0"/>
          <w:sz w:val="32"/>
          <w:szCs w:val="32"/>
        </w:rPr>
        <w:t>（二）效益性分析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-334" w:firstLine="640"/>
        <w:jc w:val="both"/>
        <w:rPr>
          <w:rFonts w:hint="default" w:ascii="Times New Roman" w:hAnsi="Times New Roman" w:cs="Times New Roman"/>
          <w:color w:val="3D3D3D"/>
          <w:sz w:val="21"/>
          <w:szCs w:val="21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3D3D3D"/>
          <w:spacing w:val="0"/>
          <w:sz w:val="32"/>
          <w:szCs w:val="32"/>
        </w:rPr>
        <w:t>我局认真贯彻落实党的十八大和习近平总书记系列重要讲话精神，牢固树立</w:t>
      </w:r>
      <w:r>
        <w:rPr>
          <w:rFonts w:hint="eastAsia" w:ascii="仿宋" w:hAnsi="仿宋" w:eastAsia="仿宋" w:cs="仿宋"/>
          <w:i w:val="0"/>
          <w:iCs w:val="0"/>
          <w:caps w:val="0"/>
          <w:color w:val="3D3D3D"/>
          <w:spacing w:val="0"/>
          <w:sz w:val="32"/>
          <w:szCs w:val="32"/>
        </w:rPr>
        <w:t>“以民为本为民服务”的工作宗旨，按照“抓改革、创特色，抓重点、求突破，抓规范、上水平，抓队伍、树形象”的工作思路，大胆创新，主动作为，推动了全市信访事业在新常态下的又好又快发展。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jc w:val="both"/>
        <w:rPr>
          <w:rFonts w:hint="default" w:ascii="Times New Roman" w:hAnsi="Times New Roman" w:cs="Times New Roman"/>
          <w:color w:val="3D3D3D"/>
          <w:sz w:val="21"/>
          <w:szCs w:val="21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3D3D3D"/>
          <w:spacing w:val="0"/>
          <w:sz w:val="32"/>
          <w:szCs w:val="32"/>
        </w:rPr>
        <w:t>（三）有效性分析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jc w:val="both"/>
        <w:rPr>
          <w:rFonts w:hint="default" w:ascii="Times New Roman" w:hAnsi="Times New Roman" w:cs="Times New Roman"/>
          <w:color w:val="3D3D3D"/>
          <w:sz w:val="21"/>
          <w:szCs w:val="21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3D3D3D"/>
          <w:spacing w:val="0"/>
          <w:sz w:val="32"/>
          <w:szCs w:val="32"/>
        </w:rPr>
        <w:t>信访部门是党和人民群众血肉联系的重要部门，通过财政部门的资金支撑，为解决各种重大疑难的信访问题，充分发挥信访工作的作用，对构建和谐社会和维护社会稳定是非常有效的。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jc w:val="both"/>
        <w:rPr>
          <w:rFonts w:hint="default" w:ascii="Times New Roman" w:hAnsi="Times New Roman" w:cs="Times New Roman"/>
          <w:color w:val="3D3D3D"/>
          <w:sz w:val="21"/>
          <w:szCs w:val="21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3D3D3D"/>
          <w:spacing w:val="0"/>
          <w:sz w:val="32"/>
          <w:szCs w:val="32"/>
        </w:rPr>
        <w:t>（四）可持续性分析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jc w:val="both"/>
        <w:rPr>
          <w:rFonts w:hint="default" w:ascii="Times New Roman" w:hAnsi="Times New Roman" w:cs="Times New Roman"/>
          <w:color w:val="3D3D3D"/>
          <w:sz w:val="21"/>
          <w:szCs w:val="21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3D3D3D"/>
          <w:spacing w:val="0"/>
          <w:sz w:val="32"/>
          <w:szCs w:val="32"/>
        </w:rPr>
        <w:t>整体支出既严格遵循了上级相关文件要求，又结合了我市的信访工作实际，在资金安排使用上还是比较科学合理的，具有可持续性。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jc w:val="both"/>
        <w:rPr>
          <w:rFonts w:hint="default" w:ascii="Times New Roman" w:hAnsi="Times New Roman" w:cs="Times New Roman"/>
          <w:color w:val="3D3D3D"/>
          <w:sz w:val="21"/>
          <w:szCs w:val="21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D3D3D"/>
          <w:spacing w:val="0"/>
          <w:sz w:val="32"/>
          <w:szCs w:val="32"/>
        </w:rPr>
        <w:t>四、存在的主要问题及建议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  <w:jc w:val="both"/>
        <w:rPr>
          <w:rFonts w:hint="default" w:ascii="Times New Roman" w:hAnsi="Times New Roman" w:cs="Times New Roman"/>
          <w:color w:val="3D3D3D"/>
          <w:sz w:val="21"/>
          <w:szCs w:val="21"/>
        </w:rPr>
      </w:pPr>
      <w:r>
        <w:rPr>
          <w:rFonts w:hint="default" w:ascii="仿宋_GB2312" w:hAnsi="仿宋" w:eastAsia="仿宋_GB2312" w:cs="仿宋_GB2312"/>
          <w:i w:val="0"/>
          <w:iCs w:val="0"/>
          <w:caps w:val="0"/>
          <w:color w:val="3D3D3D"/>
          <w:spacing w:val="0"/>
          <w:sz w:val="32"/>
          <w:szCs w:val="32"/>
        </w:rPr>
        <w:t>部门预算工作经费偏少。新形势下，信访部门工作任务日益繁重，年初预算工作经费远远不足，难以满足新形势下信访工作的要求，诸多经费靠追加导致预算控制率和公用经费控制率不达标，请市财政将我局工作经费足额列入当年财政预算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FC1303"/>
    <w:rsid w:val="4E966757"/>
    <w:rsid w:val="5BFC1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2021-06-02T03:16:00Z</dcterms:created>
  <dc:creator>召</dc:creator>
  <cp:lastModifiedBy>召</cp:lastModifiedBy>
  <dcterms:modified xsi:type="dcterms:W3CDTF">2021-06-02T05:02:34Z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8420EF702C4E440D88E9322F72B67D77</vt:lpwstr>
  </property>
</Properties>
</file>